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1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附件2：</w:t>
      </w:r>
    </w:p>
    <w:p>
      <w:pPr>
        <w:pStyle w:val="31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40" w:lineRule="auto"/>
        <w:ind w:firstLine="1321" w:firstLineChars="400"/>
        <w:rPr>
          <w:rFonts w:hint="eastAsia" w:ascii="微软雅黑" w:hAnsi="微软雅黑" w:eastAsia="微软雅黑" w:cs="微软雅黑"/>
          <w:b/>
          <w:bCs w:val="0"/>
          <w:color w:val="00000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 w:val="0"/>
          <w:color w:val="000000"/>
          <w:sz w:val="32"/>
          <w:szCs w:val="32"/>
        </w:rPr>
        <w:t>南水镇卫生院医疗卫生服务能力提升工程</w:t>
      </w:r>
    </w:p>
    <w:p>
      <w:pPr>
        <w:pStyle w:val="31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40" w:lineRule="auto"/>
        <w:jc w:val="center"/>
        <w:rPr>
          <w:rFonts w:hint="eastAsia" w:ascii="微软雅黑" w:hAnsi="微软雅黑" w:eastAsia="微软雅黑" w:cs="微软雅黑"/>
          <w:b/>
          <w:bCs w:val="0"/>
          <w:color w:val="000000"/>
          <w:spacing w:val="0"/>
          <w:kern w:val="0"/>
          <w:sz w:val="32"/>
          <w:szCs w:val="32"/>
          <w:lang w:val="en-US" w:eastAsia="en-US" w:bidi="ar-SA"/>
        </w:rPr>
      </w:pPr>
      <w:r>
        <w:rPr>
          <w:rFonts w:hint="eastAsia" w:ascii="微软雅黑" w:hAnsi="微软雅黑" w:eastAsia="微软雅黑" w:cs="微软雅黑"/>
          <w:b/>
          <w:bCs w:val="0"/>
          <w:color w:val="000000"/>
          <w:spacing w:val="0"/>
          <w:kern w:val="0"/>
          <w:sz w:val="32"/>
          <w:szCs w:val="32"/>
          <w:lang w:val="en-US" w:eastAsia="en-US" w:bidi="ar-SA"/>
        </w:rPr>
        <w:t>模块化机房建设及原机房设备搬迁服务调研需求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包2｜本次调研测算价约51万元，最终以采购公告最高限价为准｜</w:t>
      </w:r>
      <w:r>
        <w:rPr>
          <w:rFonts w:hint="eastAsia" w:cs="微软雅黑"/>
          <w:color w:val="auto"/>
          <w:sz w:val="28"/>
          <w:szCs w:val="28"/>
          <w:lang w:val="en-US" w:eastAsia="zh-CN"/>
        </w:rPr>
        <w:t>质保期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期3年</w:t>
      </w:r>
    </w:p>
    <w:p>
      <w:pPr>
        <w:pStyle w:val="3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一、项目概况</w:t>
      </w:r>
    </w:p>
    <w:p>
      <w:pPr>
        <w:ind w:firstLine="280" w:firstLineChars="100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南水镇卫生院拟在新院区建设模块化机房一间，并将现有机房设备整体搬迁至新机房。新机房面积约37平方米，采用模块化（微模块）机房建设方式，具备不少于8个标准服务器机柜的承载能力，地面铺设防静电地板。机房所在楼层平面可参阅随附《附件_各层平面布置图（1-4层，调研参考）》，机房具体布局、承重及供电引入条件等详细信息，将于现场调研时提供查阅，报价前请务必参加现场勘察。</w:t>
      </w:r>
    </w:p>
    <w:p>
      <w:pPr>
        <w:pStyle w:val="3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二、建设内容</w:t>
      </w:r>
    </w:p>
    <w:p>
      <w:pPr>
        <w:pStyle w:val="4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（一）模块化机房建设</w:t>
      </w:r>
    </w:p>
    <w:p>
      <w:pPr>
        <w:pStyle w:val="14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机柜系统：不少于8个标准服务器机柜位（42U、19英寸），采用密闭冷通道形式，含综合柜（集成配电、UPS、监控等功能）；冷通道封闭可采用一体化产品或现场组装结构，以安装质量、承重与密封性能满足要求为准。</w:t>
      </w:r>
    </w:p>
    <w:p>
      <w:pPr>
        <w:pStyle w:val="14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供配电系统：市电配电、UPS配电及机柜支路配电（PDU），含防雷保护。</w:t>
      </w:r>
    </w:p>
    <w:p>
      <w:pPr>
        <w:pStyle w:val="14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UPS系统：在线式（双变换）UPS及配套后备电池，满足机房设备满载运行需求。</w:t>
      </w:r>
    </w:p>
    <w:p>
      <w:pPr>
        <w:pStyle w:val="14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制冷系统：行级精密空调，恒温恒湿，满足机房满载散热需求，含漏水检测。</w:t>
      </w:r>
    </w:p>
    <w:p>
      <w:pPr>
        <w:pStyle w:val="14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动环监控系统：对供配电、UPS、空调、温湿度、漏水、门状态等实时监控，支持远程Web查看及短信/邮件等告警方式。</w:t>
      </w:r>
    </w:p>
    <w:p>
      <w:pPr>
        <w:pStyle w:val="14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综合布线及走线：采用机柜顶部上走线方式，强弱电分离。</w:t>
      </w:r>
    </w:p>
    <w:p>
      <w:pPr>
        <w:pStyle w:val="14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安全管理：烟感探测、声光告警、机柜门禁等。</w:t>
      </w:r>
    </w:p>
    <w:p>
      <w:pPr>
        <w:pStyle w:val="14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防雷接地：机房等电位连接及接地系统，接地电阻满足规范要求。</w:t>
      </w:r>
    </w:p>
    <w:p>
      <w:pPr>
        <w:pStyle w:val="14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上述内容的设备安装、调试及所需全部辅材。</w:t>
      </w:r>
    </w:p>
    <w:p>
      <w:pPr>
        <w:pStyle w:val="4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（二）防静电地板工程</w:t>
      </w:r>
    </w:p>
    <w:p>
      <w:p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机房地面铺设防静电地板约37平方米，含地面找平、导电接地网铺设、踢脚线等，表面电阻及接地电阻满足国家相关规范要求。</w:t>
      </w:r>
    </w:p>
    <w:p>
      <w:pPr>
        <w:pStyle w:val="4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（三）机房搬迁</w:t>
      </w:r>
    </w:p>
    <w:p>
      <w:pPr>
        <w:pStyle w:val="14"/>
        <w:numPr>
          <w:ilvl w:val="0"/>
          <w:numId w:val="7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前期准备：现场勘察、资产盘点、风险评估、搬迁方案设计；</w:t>
      </w:r>
    </w:p>
    <w:p>
      <w:pPr>
        <w:pStyle w:val="14"/>
        <w:numPr>
          <w:ilvl w:val="0"/>
          <w:numId w:val="7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设备搬迁：服务器、网络、安全、存储设备的拆除、配置备份、包装防护、运输、上架安装、通电检测与调测；</w:t>
      </w:r>
    </w:p>
    <w:p>
      <w:pPr>
        <w:pStyle w:val="14"/>
        <w:numPr>
          <w:ilvl w:val="0"/>
          <w:numId w:val="7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网络系统迁移：网络架构重建、安全策略迁移、运营商线路割接、存储系统迁移、网络联调测试；</w:t>
      </w:r>
    </w:p>
    <w:p>
      <w:pPr>
        <w:pStyle w:val="14"/>
        <w:numPr>
          <w:ilvl w:val="0"/>
          <w:numId w:val="7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业务系统迁移：业务系统备份、数据库迁移、应用系统部署、业务功能验证及原厂协调支持；</w:t>
      </w:r>
    </w:p>
    <w:p>
      <w:pPr>
        <w:pStyle w:val="14"/>
        <w:numPr>
          <w:ilvl w:val="0"/>
          <w:numId w:val="7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综合布线：新机房布线方案设计、六类网线及光纤布设、配线架安装、标签管理及测试验收。</w:t>
      </w:r>
    </w:p>
    <w:p>
      <w:pPr>
        <w:pStyle w:val="3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三、★实质条款</w:t>
      </w:r>
    </w:p>
    <w:p>
      <w:pPr>
        <w:pStyle w:val="14"/>
        <w:numPr>
          <w:ilvl w:val="0"/>
          <w:numId w:val="8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★UPS满载后备时间不低于30分钟；采用在线式双变换技术；市电/电池切换时间为0；输出功率因数≥0.9；具备泰尔认证或同等效力认证。</w:t>
      </w:r>
    </w:p>
    <w:p>
      <w:pPr>
        <w:pStyle w:val="14"/>
        <w:numPr>
          <w:ilvl w:val="0"/>
          <w:numId w:val="8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★行级精密空调单台制冷量≥12.5kW（回风温度35℃工况），温度调节精度±0.3℃、湿度±3%RH，具备恒温恒湿功能，配置漏水检测与强排水泵。</w:t>
      </w:r>
    </w:p>
    <w:p>
      <w:pPr>
        <w:pStyle w:val="14"/>
        <w:numPr>
          <w:ilvl w:val="0"/>
          <w:numId w:val="8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★机柜静态载荷≥2900kg，具备权威第三方检测报告（同产品线报告或同等级报告均可）；机房建设符合GB 50174《数据中心设计规范》等国家现行相关标准规范。</w:t>
      </w:r>
    </w:p>
    <w:p>
      <w:pPr>
        <w:pStyle w:val="14"/>
        <w:numPr>
          <w:ilvl w:val="0"/>
          <w:numId w:val="8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★动环监控具备远程Web访问及短信告警功能，支持MQTT/SNMP等开放协议对接院内统一运维管理平台。</w:t>
      </w:r>
    </w:p>
    <w:p>
      <w:pPr>
        <w:pStyle w:val="14"/>
        <w:numPr>
          <w:ilvl w:val="0"/>
          <w:numId w:val="8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★搬迁过程须制定数据备份与应急预案，确保数据零丢失、业务中断时间可控，割接原则上安排在非业务高峰时段实施，并提供切换失败回退方案。</w:t>
      </w:r>
    </w:p>
    <w:p>
      <w:pPr>
        <w:pStyle w:val="14"/>
        <w:numPr>
          <w:ilvl w:val="0"/>
          <w:numId w:val="8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★提供搬迁后不少于3年的机房基础设施运维服务。</w:t>
      </w:r>
    </w:p>
    <w:p>
      <w:pPr>
        <w:pStyle w:val="3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四、一般条款（满足或相当于）</w:t>
      </w:r>
    </w:p>
    <w:p>
      <w:pPr>
        <w:pStyle w:val="14"/>
        <w:numPr>
          <w:ilvl w:val="0"/>
          <w:numId w:val="9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机柜前后门配置智能锁并具备应急开启方式；</w:t>
      </w:r>
    </w:p>
    <w:p>
      <w:pPr>
        <w:pStyle w:val="14"/>
        <w:numPr>
          <w:ilvl w:val="0"/>
          <w:numId w:val="9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动环监控主机支持温湿度、烟感、声光报警、门禁等传感器接入，支持3D可视化建模展示（可用二维界面替代，不作强制）；</w:t>
      </w:r>
    </w:p>
    <w:p>
      <w:pPr>
        <w:pStyle w:val="14"/>
        <w:numPr>
          <w:ilvl w:val="0"/>
          <w:numId w:val="9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UPS输入功率因数≥0.99、输入谐波THDi＜3%、整机效率＞95%；</w:t>
      </w:r>
    </w:p>
    <w:p>
      <w:pPr>
        <w:pStyle w:val="14"/>
        <w:numPr>
          <w:ilvl w:val="0"/>
          <w:numId w:val="9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精密空调采用EC离心风机、变频压缩机，室内机具备RS485远程监控接口；</w:t>
      </w:r>
    </w:p>
    <w:p>
      <w:pPr>
        <w:pStyle w:val="14"/>
        <w:numPr>
          <w:ilvl w:val="0"/>
          <w:numId w:val="9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PDU竖直安装，输出≥14位10A国标插座+≥4位16A国标插座；</w:t>
      </w:r>
    </w:p>
    <w:p>
      <w:pPr>
        <w:pStyle w:val="14"/>
        <w:numPr>
          <w:ilvl w:val="0"/>
          <w:numId w:val="9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上走线组件覆盖全部机柜，槽位不少于2个，强弱电分槽敷设。</w:t>
      </w:r>
    </w:p>
    <w:p>
      <w:pPr>
        <w:pStyle w:val="3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五、证明材料要求（本包合计不超过3项）</w:t>
      </w:r>
    </w:p>
    <w:p>
      <w:pPr>
        <w:pStyle w:val="14"/>
        <w:numPr>
          <w:ilvl w:val="0"/>
          <w:numId w:val="10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UPS泰尔认证或同等效力认证证书；</w:t>
      </w:r>
    </w:p>
    <w:p>
      <w:pPr>
        <w:pStyle w:val="14"/>
        <w:numPr>
          <w:ilvl w:val="0"/>
          <w:numId w:val="10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机柜载荷第三方检测报告（同产品线）；</w:t>
      </w:r>
    </w:p>
    <w:p>
      <w:pPr>
        <w:pStyle w:val="14"/>
        <w:numPr>
          <w:ilvl w:val="0"/>
          <w:numId w:val="10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精密空调CCC认证或同等效力认证证书。</w:t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4"/>
    <w:lvlOverride w:ilvl="0">
      <w:startOverride w:val="1"/>
    </w:lvlOverride>
  </w:num>
  <w:num w:numId="8">
    <w:abstractNumId w:val="4"/>
    <w:lvlOverride w:ilvl="0">
      <w:startOverride w:val="1"/>
    </w:lvlOverride>
  </w:num>
  <w:num w:numId="9">
    <w:abstractNumId w:val="4"/>
    <w:lvlOverride w:ilvl="0">
      <w:startOverride w:val="1"/>
    </w:lvlOverride>
  </w:num>
  <w:num w:numId="10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CE35B6B"/>
    <w:rsid w:val="22C41995"/>
    <w:rsid w:val="401F6CE1"/>
    <w:rsid w:val="45B92B37"/>
    <w:rsid w:val="4C1473DE"/>
    <w:rsid w:val="70150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微软雅黑" w:hAnsi="微软雅黑" w:eastAsia="微软雅黑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GC</cp:lastModifiedBy>
  <dcterms:modified xsi:type="dcterms:W3CDTF">2026-10-30T01:53:54Z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4998BEA80895420B842A61931DD48492</vt:lpwstr>
  </property>
</Properties>
</file>