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仿宋" w:hAnsi="仿宋" w:eastAsia="仿宋" w:cs="仿宋"/>
          <w:sz w:val="28"/>
          <w:szCs w:val="28"/>
          <w:lang w:val="en-US" w:eastAsia="zh-CN"/>
        </w:rPr>
      </w:pPr>
      <w:r>
        <w:rPr>
          <w:rFonts w:hint="eastAsia" w:ascii="仿宋" w:hAnsi="仿宋" w:eastAsia="仿宋" w:cs="仿宋"/>
          <w:b/>
          <w:bCs/>
          <w:sz w:val="28"/>
          <w:szCs w:val="28"/>
          <w:lang w:val="en-US" w:eastAsia="zh-CN"/>
        </w:rPr>
        <w:t>珠海市第五人民医院电力市场化交易服务采购需求</w:t>
      </w:r>
    </w:p>
    <w:p>
      <w:pPr>
        <w:rPr>
          <w:rFonts w:hint="eastAsia" w:ascii="仿宋" w:hAnsi="仿宋" w:eastAsia="仿宋" w:cs="仿宋"/>
          <w:sz w:val="28"/>
          <w:szCs w:val="28"/>
          <w:lang w:val="en-US" w:eastAsia="zh-CN"/>
        </w:rPr>
      </w:pPr>
    </w:p>
    <w:p>
      <w:pPr>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一、项目概况</w:t>
      </w:r>
    </w:p>
    <w:p>
      <w:pPr>
        <w:ind w:firstLine="280" w:firstLineChars="1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 用电主体：珠海市第五人民医院</w:t>
      </w:r>
    </w:p>
    <w:p>
      <w:pPr>
        <w:ind w:firstLine="280" w:firstLineChars="1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xml:space="preserve">2. 用电地址：珠海市金湾区平沙镇平沙二路2030号 </w:t>
      </w:r>
    </w:p>
    <w:p>
      <w:pPr>
        <w:ind w:firstLine="280" w:firstLineChars="1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3. 标的电量</w:t>
      </w:r>
      <w:r>
        <w:rPr>
          <w:rFonts w:hint="eastAsia" w:ascii="仿宋" w:hAnsi="仿宋" w:eastAsia="仿宋" w:cs="仿宋"/>
          <w:sz w:val="28"/>
          <w:szCs w:val="28"/>
          <w:highlight w:val="none"/>
          <w:lang w:val="en-US" w:eastAsia="zh-CN"/>
        </w:rPr>
        <w:t>：2027年1月—2027年12月，总电量需求约_</w:t>
      </w:r>
      <w:r>
        <w:rPr>
          <w:rFonts w:hint="eastAsia" w:ascii="仿宋" w:hAnsi="仿宋" w:eastAsia="仿宋" w:cs="仿宋"/>
          <w:sz w:val="28"/>
          <w:szCs w:val="28"/>
          <w:highlight w:val="none"/>
          <w:u w:val="single"/>
          <w:lang w:val="en-US" w:eastAsia="zh-CN"/>
        </w:rPr>
        <w:t>650</w:t>
      </w:r>
      <w:r>
        <w:rPr>
          <w:rFonts w:hint="eastAsia" w:ascii="仿宋" w:hAnsi="仿宋" w:eastAsia="仿宋" w:cs="仿宋"/>
          <w:sz w:val="28"/>
          <w:szCs w:val="28"/>
          <w:highlight w:val="none"/>
          <w:lang w:val="en-US" w:eastAsia="zh-CN"/>
        </w:rPr>
        <w:t>_</w:t>
      </w:r>
      <w:r>
        <w:rPr>
          <w:rFonts w:hint="eastAsia" w:ascii="仿宋" w:hAnsi="仿宋" w:eastAsia="仿宋" w:cs="仿宋"/>
          <w:sz w:val="28"/>
          <w:szCs w:val="28"/>
          <w:lang w:val="en-US" w:eastAsia="zh-CN"/>
        </w:rPr>
        <w:t>万kWh，最终以实际使用量结算。</w:t>
      </w:r>
    </w:p>
    <w:p>
      <w:pPr>
        <w:ind w:firstLine="280" w:firstLineChars="100"/>
        <w:rPr>
          <w:rFonts w:hint="eastAsia" w:ascii="仿宋" w:hAnsi="仿宋" w:eastAsia="仿宋" w:cs="仿宋"/>
          <w:sz w:val="28"/>
          <w:szCs w:val="28"/>
          <w:highlight w:val="yellow"/>
          <w:lang w:val="en-US" w:eastAsia="zh-CN"/>
        </w:rPr>
      </w:pPr>
      <w:r>
        <w:rPr>
          <w:rFonts w:hint="eastAsia" w:ascii="仿宋" w:hAnsi="仿宋" w:eastAsia="仿宋" w:cs="仿宋"/>
          <w:sz w:val="28"/>
          <w:szCs w:val="28"/>
          <w:highlight w:val="none"/>
          <w:lang w:val="en-US" w:eastAsia="zh-CN"/>
        </w:rPr>
        <w:t>4. 电压等级：10kV，双回路供电，总容量：4100kVA</w:t>
      </w:r>
    </w:p>
    <w:p>
      <w:pPr>
        <w:rPr>
          <w:rFonts w:hint="eastAsia" w:ascii="仿宋" w:hAnsi="仿宋" w:eastAsia="仿宋" w:cs="仿宋"/>
          <w:sz w:val="28"/>
          <w:szCs w:val="28"/>
          <w:lang w:val="en-US" w:eastAsia="zh-CN"/>
        </w:rPr>
      </w:pPr>
    </w:p>
    <w:p>
      <w:pPr>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二、项目需求</w:t>
      </w:r>
    </w:p>
    <w:p>
      <w:pPr>
        <w:ind w:firstLine="280" w:firstLineChars="1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 采购内容：对采购人平均电价中的“购电价格”部分市场化确定售电公司提供服务；平均电价中的输配电价、上网环节线损电价、系统运行费单价、调整系数、基金及附加费单价等按原有政策执行。</w:t>
      </w:r>
    </w:p>
    <w:p>
      <w:pPr>
        <w:ind w:firstLine="280" w:firstLineChars="1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 合同周期：2027年1月1日-2027年12月31日，服务期为</w:t>
      </w:r>
      <w:r>
        <w:rPr>
          <w:rFonts w:hint="eastAsia" w:ascii="仿宋" w:hAnsi="仿宋" w:eastAsia="仿宋" w:cs="仿宋"/>
          <w:sz w:val="28"/>
          <w:szCs w:val="28"/>
          <w:highlight w:val="none"/>
          <w:lang w:val="en-US" w:eastAsia="zh-CN"/>
        </w:rPr>
        <w:t>1年</w:t>
      </w:r>
      <w:r>
        <w:rPr>
          <w:rFonts w:hint="eastAsia" w:ascii="仿宋" w:hAnsi="仿宋" w:eastAsia="仿宋" w:cs="仿宋"/>
          <w:sz w:val="28"/>
          <w:szCs w:val="28"/>
          <w:lang w:val="en-US" w:eastAsia="zh-CN"/>
        </w:rPr>
        <w:t>。</w:t>
      </w:r>
    </w:p>
    <w:p>
      <w:pPr>
        <w:ind w:firstLine="280" w:firstLineChars="1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3. 电能量交易模式：采用固定价格+市场联动+浮动费用模式：</w:t>
      </w:r>
    </w:p>
    <w:p>
      <w:pP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固定价格结算电量比例：实际用电量的90%</w:t>
      </w:r>
    </w:p>
    <w:p>
      <w:pP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市场联动价格结算电量比例：实际用电量的10%</w:t>
      </w:r>
    </w:p>
    <w:p>
      <w:pP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浮动费用：0元/千瓦时（全电量收取）</w:t>
      </w:r>
    </w:p>
    <w:p>
      <w:pPr>
        <w:numPr>
          <w:ilvl w:val="0"/>
          <w:numId w:val="0"/>
        </w:numPr>
        <w:ind w:firstLine="280" w:firstLineChars="100"/>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4. 价格机制：</w:t>
      </w:r>
    </w:p>
    <w:p>
      <w:pP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固定价格：以最终成交价参与交易。</w:t>
      </w:r>
    </w:p>
    <w:p>
      <w:pPr>
        <w:ind w:left="280" w:hanging="280" w:hangingChars="1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联动价格：联动月度价格，以广东电力交易中心每月发布的月度中长期交易综合价参与交易。</w:t>
      </w:r>
    </w:p>
    <w:p>
      <w:pP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交易手续费及用电偏差由供应商承担。</w:t>
      </w:r>
    </w:p>
    <w:p>
      <w:pPr>
        <w:ind w:left="280" w:hanging="280" w:hangingChars="1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除中标确定的电能量固定价格外，其他各项电费标准按电网公司和交易中心政策执行。</w:t>
      </w:r>
    </w:p>
    <w:p>
      <w:pPr>
        <w:ind w:firstLine="280" w:firstLineChars="1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5. 未详尽事宜按最新版《广东电力市场售电公司与电力用户零售交易合同（范本）》及广东省能源局、南方监管局相关文件执行。</w:t>
      </w:r>
    </w:p>
    <w:p>
      <w:pPr>
        <w:rPr>
          <w:rFonts w:hint="eastAsia" w:ascii="仿宋" w:hAnsi="仿宋" w:eastAsia="仿宋" w:cs="仿宋"/>
          <w:sz w:val="28"/>
          <w:szCs w:val="28"/>
          <w:lang w:val="en-US" w:eastAsia="zh-CN"/>
        </w:rPr>
      </w:pPr>
    </w:p>
    <w:p>
      <w:pPr>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三、供应商服务内容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555" w:lineRule="atLeast"/>
        <w:ind w:left="0" w:right="0" w:firstLine="555"/>
        <w:jc w:val="left"/>
      </w:pPr>
      <w:r>
        <w:rPr>
          <w:rFonts w:hint="eastAsia" w:ascii="仿宋" w:hAnsi="仿宋" w:eastAsia="仿宋" w:cs="仿宋"/>
          <w:i w:val="0"/>
          <w:iCs w:val="0"/>
          <w:caps w:val="0"/>
          <w:color w:val="333333"/>
          <w:spacing w:val="0"/>
          <w:sz w:val="28"/>
          <w:szCs w:val="28"/>
          <w:shd w:val="clear" w:fill="FFFFFF"/>
        </w:rPr>
        <w:t>1.代理参与电力市场化交易，负责每月交易电量申报、交易、结算工作。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555" w:lineRule="atLeast"/>
        <w:ind w:left="0" w:right="0" w:firstLine="555"/>
        <w:jc w:val="left"/>
      </w:pPr>
      <w:r>
        <w:rPr>
          <w:rFonts w:hint="eastAsia" w:ascii="仿宋" w:hAnsi="仿宋" w:eastAsia="仿宋" w:cs="仿宋"/>
          <w:i w:val="0"/>
          <w:iCs w:val="0"/>
          <w:caps w:val="0"/>
          <w:color w:val="333333"/>
          <w:spacing w:val="0"/>
          <w:sz w:val="28"/>
          <w:szCs w:val="28"/>
          <w:shd w:val="clear" w:fill="FFFFFF"/>
        </w:rPr>
        <w:t>2.负责</w:t>
      </w:r>
      <w:bookmarkStart w:id="0" w:name="_GoBack"/>
      <w:bookmarkEnd w:id="0"/>
      <w:r>
        <w:rPr>
          <w:rFonts w:hint="eastAsia" w:ascii="仿宋" w:hAnsi="仿宋" w:eastAsia="仿宋" w:cs="仿宋"/>
          <w:i w:val="0"/>
          <w:iCs w:val="0"/>
          <w:caps w:val="0"/>
          <w:color w:val="333333"/>
          <w:spacing w:val="0"/>
          <w:sz w:val="28"/>
          <w:szCs w:val="28"/>
          <w:shd w:val="clear" w:fill="FFFFFF"/>
        </w:rPr>
        <w:t>电力交易相关的全周期电力交易服务。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555" w:lineRule="atLeast"/>
        <w:ind w:left="0" w:right="0" w:firstLine="555"/>
        <w:jc w:val="left"/>
      </w:pPr>
      <w:r>
        <w:rPr>
          <w:rFonts w:hint="eastAsia" w:ascii="仿宋" w:hAnsi="仿宋" w:eastAsia="仿宋" w:cs="仿宋"/>
          <w:i w:val="0"/>
          <w:iCs w:val="0"/>
          <w:caps w:val="0"/>
          <w:color w:val="333333"/>
          <w:spacing w:val="0"/>
          <w:sz w:val="28"/>
          <w:szCs w:val="28"/>
          <w:shd w:val="clear" w:fill="FFFFFF"/>
        </w:rPr>
        <w:t>3.负责电量电费分析、电力技术咨询、电力技术服务，重点包括与电网企业的沟通，发行电费的准确性、合理性分析，相应发票获取及用电手续办理等业务，每月提供交易电量结算清单，明确交易电量和电价，并如实向采购人提供真实准确的交易相关信息和资料。</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555" w:lineRule="atLeast"/>
        <w:ind w:left="0" w:right="0" w:firstLine="555"/>
        <w:jc w:val="left"/>
      </w:pPr>
      <w:r>
        <w:rPr>
          <w:rFonts w:hint="eastAsia" w:ascii="仿宋" w:hAnsi="仿宋" w:eastAsia="仿宋" w:cs="仿宋"/>
          <w:i w:val="0"/>
          <w:iCs w:val="0"/>
          <w:caps w:val="0"/>
          <w:color w:val="333333"/>
          <w:spacing w:val="0"/>
          <w:sz w:val="28"/>
          <w:szCs w:val="28"/>
          <w:shd w:val="clear" w:fill="FFFFFF"/>
        </w:rPr>
        <w:t>4.提供的购电服务应不改变采购人原有的用电习惯，供电模式和供电质量保障不变，所有交易流程全权委托供应商进行，具体工作内容及范围以采购人委托为准。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555" w:lineRule="atLeast"/>
        <w:ind w:left="0" w:right="0" w:firstLine="555"/>
        <w:jc w:val="left"/>
        <w:rPr>
          <w:rFonts w:hint="eastAsia" w:ascii="仿宋" w:hAnsi="仿宋" w:eastAsia="仿宋" w:cs="仿宋"/>
          <w:i w:val="0"/>
          <w:iCs w:val="0"/>
          <w:caps w:val="0"/>
          <w:color w:val="333333"/>
          <w:spacing w:val="0"/>
          <w:sz w:val="28"/>
          <w:szCs w:val="28"/>
          <w:shd w:val="clear" w:fill="FFFFFF"/>
        </w:rPr>
      </w:pPr>
      <w:r>
        <w:rPr>
          <w:rFonts w:hint="eastAsia" w:ascii="仿宋" w:hAnsi="仿宋" w:eastAsia="仿宋" w:cs="仿宋"/>
          <w:i w:val="0"/>
          <w:iCs w:val="0"/>
          <w:caps w:val="0"/>
          <w:color w:val="333333"/>
          <w:spacing w:val="0"/>
          <w:sz w:val="28"/>
          <w:szCs w:val="28"/>
          <w:shd w:val="clear" w:fill="FFFFFF"/>
        </w:rPr>
        <w:t>5.运用智慧化管理工具，实时监控采购人用电负荷，生成月度《用电分析报告》，提出节能优化建议。</w:t>
      </w:r>
    </w:p>
    <w:p>
      <w:pPr>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6. 承诺购电价不高于南方电网代理购电价格，否则返还差价。</w:t>
      </w:r>
    </w:p>
    <w:p>
      <w:pPr>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7. 如因政策调整无法继续履约，双方应在保障采购人利益前提下协商解约。</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555" w:lineRule="atLeast"/>
        <w:ind w:left="0" w:right="0" w:firstLine="555"/>
        <w:jc w:val="left"/>
        <w:rPr>
          <w:rFonts w:hint="eastAsia" w:ascii="仿宋" w:hAnsi="仿宋" w:eastAsia="仿宋" w:cs="仿宋"/>
          <w:i w:val="0"/>
          <w:iCs w:val="0"/>
          <w:caps w:val="0"/>
          <w:color w:val="333333"/>
          <w:spacing w:val="0"/>
          <w:sz w:val="28"/>
          <w:szCs w:val="28"/>
          <w:shd w:val="clear" w:fill="FFFFFF"/>
        </w:rPr>
      </w:pPr>
    </w:p>
    <w:p>
      <w:pPr>
        <w:rPr>
          <w:rFonts w:hint="eastAsia" w:ascii="仿宋" w:hAnsi="仿宋" w:eastAsia="仿宋" w:cs="仿宋"/>
          <w:sz w:val="28"/>
          <w:szCs w:val="28"/>
          <w:lang w:val="en-US" w:eastAsia="zh-CN"/>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555" w:lineRule="atLeast"/>
        <w:ind w:left="0" w:right="0"/>
        <w:jc w:val="left"/>
        <w:rPr>
          <w:rFonts w:hint="eastAsia" w:ascii="仿宋" w:hAnsi="仿宋" w:eastAsia="仿宋" w:cs="仿宋"/>
        </w:rPr>
      </w:pPr>
      <w:r>
        <w:rPr>
          <w:rFonts w:hint="eastAsia" w:ascii="仿宋" w:hAnsi="仿宋" w:eastAsia="仿宋" w:cs="仿宋"/>
          <w:b/>
          <w:bCs/>
          <w:sz w:val="28"/>
          <w:szCs w:val="28"/>
          <w:lang w:val="en-US" w:eastAsia="zh-CN"/>
        </w:rPr>
        <w:t>四、</w:t>
      </w:r>
      <w:r>
        <w:rPr>
          <w:rFonts w:hint="eastAsia" w:ascii="仿宋" w:hAnsi="仿宋" w:eastAsia="仿宋" w:cs="仿宋"/>
          <w:b/>
          <w:bCs/>
          <w:i w:val="0"/>
          <w:iCs w:val="0"/>
          <w:caps w:val="0"/>
          <w:color w:val="333333"/>
          <w:spacing w:val="0"/>
          <w:sz w:val="28"/>
          <w:szCs w:val="28"/>
          <w:shd w:val="clear" w:fill="FFFFFF"/>
        </w:rPr>
        <w:t>供应商资格要求</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555" w:lineRule="atLeast"/>
        <w:ind w:left="0" w:right="0" w:firstLine="555"/>
        <w:jc w:val="left"/>
      </w:pPr>
      <w:r>
        <w:rPr>
          <w:rFonts w:hint="eastAsia" w:ascii="仿宋" w:hAnsi="仿宋" w:eastAsia="仿宋" w:cs="仿宋"/>
          <w:i w:val="0"/>
          <w:iCs w:val="0"/>
          <w:caps w:val="0"/>
          <w:color w:val="333333"/>
          <w:spacing w:val="0"/>
          <w:sz w:val="28"/>
          <w:szCs w:val="28"/>
          <w:shd w:val="clear" w:fill="FFFFFF"/>
        </w:rPr>
        <w:t>1.符合《中华人民共和国政府采购法》第二十二条规定条件，即具有独立承担民事责任的能力；具有良好的商业信誉和健全的财务会计制度；具有履行合同所必需的设备和专业技术能力；有依法缴纳税收和社会保障资金的良好记录；参加政府采购活动前三年内，在经营活动中没有重大违法记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555" w:lineRule="atLeast"/>
        <w:ind w:left="0" w:right="0" w:firstLine="555"/>
        <w:jc w:val="left"/>
      </w:pPr>
      <w:r>
        <w:rPr>
          <w:rFonts w:hint="eastAsia" w:ascii="仿宋" w:hAnsi="仿宋" w:eastAsia="仿宋" w:cs="仿宋"/>
          <w:i w:val="0"/>
          <w:iCs w:val="0"/>
          <w:caps w:val="0"/>
          <w:color w:val="333333"/>
          <w:spacing w:val="0"/>
          <w:sz w:val="28"/>
          <w:szCs w:val="28"/>
          <w:shd w:val="clear" w:fill="FFFFFF"/>
        </w:rPr>
        <w:t>2.供应商需提交企业法人营业执照、相关资质证件复印件，法人资格证明书/法人授权委托书。</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555" w:lineRule="atLeast"/>
        <w:ind w:left="0" w:right="0" w:firstLine="555"/>
        <w:jc w:val="left"/>
      </w:pPr>
      <w:r>
        <w:rPr>
          <w:rFonts w:hint="eastAsia" w:ascii="仿宋" w:hAnsi="仿宋" w:eastAsia="仿宋" w:cs="仿宋"/>
          <w:i w:val="0"/>
          <w:iCs w:val="0"/>
          <w:caps w:val="0"/>
          <w:color w:val="333333"/>
          <w:spacing w:val="0"/>
          <w:sz w:val="28"/>
          <w:szCs w:val="28"/>
          <w:shd w:val="clear" w:fill="FFFFFF"/>
        </w:rPr>
        <w:t>3.供应商未列入“信用中国”网站（</w:t>
      </w:r>
      <w:r>
        <w:rPr>
          <w:rFonts w:hint="eastAsia" w:ascii="仿宋" w:hAnsi="仿宋" w:eastAsia="仿宋" w:cs="仿宋"/>
          <w:i w:val="0"/>
          <w:iCs w:val="0"/>
          <w:caps w:val="0"/>
          <w:color w:val="0563C1"/>
          <w:spacing w:val="0"/>
          <w:sz w:val="28"/>
          <w:szCs w:val="28"/>
          <w:u w:val="single"/>
          <w:shd w:val="clear" w:fill="FFFFFF"/>
        </w:rPr>
        <w:t>www.creditchina.gov.cn</w:t>
      </w:r>
      <w:r>
        <w:rPr>
          <w:rFonts w:hint="eastAsia" w:ascii="仿宋" w:hAnsi="仿宋" w:eastAsia="仿宋" w:cs="仿宋"/>
          <w:i w:val="0"/>
          <w:iCs w:val="0"/>
          <w:caps w:val="0"/>
          <w:color w:val="333333"/>
          <w:spacing w:val="0"/>
          <w:sz w:val="28"/>
          <w:szCs w:val="28"/>
          <w:shd w:val="clear" w:fill="FFFFFF"/>
        </w:rPr>
        <w:t>）“记录失信被执行人或税收违法黑名单”记录名单；不处于中国政府采购网（</w:t>
      </w:r>
      <w:r>
        <w:rPr>
          <w:rFonts w:hint="eastAsia" w:ascii="仿宋" w:hAnsi="仿宋" w:eastAsia="仿宋" w:cs="仿宋"/>
          <w:i w:val="0"/>
          <w:iCs w:val="0"/>
          <w:caps w:val="0"/>
          <w:color w:val="0563C1"/>
          <w:spacing w:val="0"/>
          <w:sz w:val="28"/>
          <w:szCs w:val="28"/>
          <w:u w:val="single"/>
          <w:shd w:val="clear" w:fill="FFFFFF"/>
        </w:rPr>
        <w:t>www.ccgp.gov.cn</w:t>
      </w:r>
      <w:r>
        <w:rPr>
          <w:rFonts w:hint="eastAsia" w:ascii="仿宋" w:hAnsi="仿宋" w:eastAsia="仿宋" w:cs="仿宋"/>
          <w:i w:val="0"/>
          <w:iCs w:val="0"/>
          <w:caps w:val="0"/>
          <w:color w:val="333333"/>
          <w:spacing w:val="0"/>
          <w:sz w:val="28"/>
          <w:szCs w:val="28"/>
          <w:shd w:val="clear" w:fill="FFFFFF"/>
        </w:rPr>
        <w:t>）中“政府采购严重违法失信行为信息记录”中的禁止参加政府采购活动期间（须提供网站查询截图证明）。</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555" w:lineRule="atLeast"/>
        <w:ind w:left="0" w:right="0" w:firstLine="555"/>
        <w:jc w:val="left"/>
      </w:pPr>
      <w:r>
        <w:rPr>
          <w:rFonts w:hint="eastAsia" w:ascii="仿宋" w:hAnsi="仿宋" w:eastAsia="仿宋" w:cs="仿宋"/>
          <w:i w:val="0"/>
          <w:iCs w:val="0"/>
          <w:caps w:val="0"/>
          <w:color w:val="333333"/>
          <w:spacing w:val="0"/>
          <w:sz w:val="28"/>
          <w:szCs w:val="28"/>
          <w:shd w:val="clear" w:fill="FFFFFF"/>
        </w:rPr>
        <w:t>4.单位负责人为同一人的两个及两个以上法人，母公司、全资子公司或存在控股、管理关系的不同单位，都不得在本采购项目中同时投标。</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555" w:lineRule="atLeast"/>
        <w:ind w:left="0" w:right="0" w:firstLine="555"/>
        <w:jc w:val="left"/>
      </w:pPr>
      <w:r>
        <w:rPr>
          <w:rFonts w:hint="eastAsia" w:ascii="仿宋" w:hAnsi="仿宋" w:eastAsia="仿宋" w:cs="仿宋"/>
          <w:i w:val="0"/>
          <w:iCs w:val="0"/>
          <w:caps w:val="0"/>
          <w:color w:val="333333"/>
          <w:spacing w:val="0"/>
          <w:sz w:val="28"/>
          <w:szCs w:val="28"/>
          <w:shd w:val="clear" w:fill="FFFFFF"/>
        </w:rPr>
        <w:t>5.本项目不接受联合体、不允许分包、转包。</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555" w:lineRule="atLeast"/>
        <w:ind w:left="0" w:right="0" w:firstLine="555"/>
        <w:jc w:val="left"/>
      </w:pPr>
      <w:r>
        <w:rPr>
          <w:rFonts w:hint="eastAsia" w:ascii="仿宋" w:hAnsi="仿宋" w:eastAsia="仿宋" w:cs="仿宋"/>
          <w:i w:val="0"/>
          <w:iCs w:val="0"/>
          <w:caps w:val="0"/>
          <w:color w:val="333333"/>
          <w:spacing w:val="0"/>
          <w:sz w:val="28"/>
          <w:szCs w:val="28"/>
          <w:shd w:val="clear" w:fill="FFFFFF"/>
        </w:rPr>
        <w:t>6.供应商需为具有售电资质且在广东电力交易中心注册公示的售电公司，且可在广东电力交易中心完成售电和零售交易电子合同签署。（提供报名供应商在广东电力交易中心成功注册售电公司基本信息网页截图并加盖供应商公章）</w:t>
      </w:r>
    </w:p>
    <w:p>
      <w:pPr>
        <w:numPr>
          <w:ilvl w:val="0"/>
          <w:numId w:val="0"/>
        </w:numPr>
        <w:rPr>
          <w:rFonts w:hint="eastAsia" w:ascii="仿宋" w:hAnsi="仿宋" w:eastAsia="仿宋" w:cs="仿宋"/>
          <w:sz w:val="28"/>
          <w:szCs w:val="28"/>
          <w:lang w:val="en-US" w:eastAsia="zh-CN"/>
        </w:rPr>
      </w:pPr>
    </w:p>
    <w:p>
      <w:pPr>
        <w:numPr>
          <w:ilvl w:val="0"/>
          <w:numId w:val="0"/>
        </w:numPr>
        <w:rPr>
          <w:rFonts w:hint="eastAsia" w:ascii="仿宋" w:hAnsi="仿宋" w:eastAsia="仿宋" w:cs="仿宋"/>
          <w:sz w:val="28"/>
          <w:szCs w:val="28"/>
          <w:lang w:val="en-US" w:eastAsia="zh-CN"/>
        </w:rPr>
      </w:pPr>
    </w:p>
    <w:p>
      <w:pPr>
        <w:numPr>
          <w:ilvl w:val="0"/>
          <w:numId w:val="0"/>
        </w:numPr>
        <w:rPr>
          <w:rFonts w:hint="eastAsia" w:ascii="仿宋" w:hAnsi="仿宋" w:eastAsia="仿宋" w:cs="仿宋"/>
          <w:sz w:val="28"/>
          <w:szCs w:val="28"/>
          <w:lang w:val="en-US" w:eastAsia="zh-CN"/>
        </w:rPr>
      </w:pPr>
    </w:p>
    <w:p>
      <w:pPr>
        <w:numPr>
          <w:ilvl w:val="0"/>
          <w:numId w:val="0"/>
        </w:numPr>
        <w:wordWrap w:val="0"/>
        <w:jc w:val="right"/>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 xml:space="preserve">总 务 科   </w:t>
      </w:r>
    </w:p>
    <w:p>
      <w:pPr>
        <w:numPr>
          <w:ilvl w:val="0"/>
          <w:numId w:val="0"/>
        </w:numPr>
        <w:jc w:val="right"/>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2026年9月22日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29C53B0"/>
    <w:rsid w:val="1908146D"/>
    <w:rsid w:val="197267B7"/>
    <w:rsid w:val="1F2E0DD9"/>
    <w:rsid w:val="3E0C5761"/>
    <w:rsid w:val="469B4F7F"/>
    <w:rsid w:val="53EF0727"/>
    <w:rsid w:val="54074319"/>
    <w:rsid w:val="56DC1DCA"/>
    <w:rsid w:val="5D2E3B8F"/>
    <w:rsid w:val="6EA81857"/>
    <w:rsid w:val="708B14EC"/>
    <w:rsid w:val="720E29F9"/>
    <w:rsid w:val="75E240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1609</Words>
  <Characters>1707</Characters>
  <Lines>0</Lines>
  <Paragraphs>0</Paragraphs>
  <TotalTime>2</TotalTime>
  <ScaleCrop>false</ScaleCrop>
  <LinksUpToDate>false</LinksUpToDate>
  <CharactersWithSpaces>1764</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2026-01-21T06:21:00Z</dcterms:created>
  <dc:creator>lidqian</dc:creator>
  <cp:lastModifiedBy>曉</cp:lastModifiedBy>
  <dcterms:modified xsi:type="dcterms:W3CDTF">2026-09-22T03:47:53Z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KSOTemplateDocerSaveRecord">
    <vt:lpwstr>eyJoZGlkIjoiYjc4M2M3ZjFkMGJlNTBmOGI4MDIwOWQ4YTU3ZTdhMTUiLCJ1c2VySWQiOiI1OTQwMDEyMDQifQ==</vt:lpwstr>
  </property>
  <property fmtid="{D5CDD505-2E9C-101B-9397-08002B2CF9AE}" pid="4" name="ICV">
    <vt:lpwstr>E59681768FE94F9BBDA039EB8F672429_12</vt:lpwstr>
  </property>
</Properties>
</file>