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ind w:firstLine="721" w:firstLineChars="200"/>
        <w:jc w:val="center"/>
        <w:rPr>
          <w:rFonts w:hint="eastAsia" w:ascii="华文中宋" w:hAnsi="华文中宋" w:eastAsia="华文中宋" w:cs="华文中宋"/>
          <w:b/>
          <w:bCs/>
          <w:sz w:val="36"/>
          <w:szCs w:val="32"/>
          <w:highlight w:val="none"/>
        </w:rPr>
      </w:pPr>
      <w:r>
        <w:rPr>
          <w:rFonts w:hint="eastAsia" w:ascii="华文中宋" w:hAnsi="华文中宋" w:eastAsia="华文中宋" w:cs="华文中宋"/>
          <w:b/>
          <w:bCs/>
          <w:sz w:val="36"/>
          <w:szCs w:val="32"/>
          <w:highlight w:val="none"/>
          <w:lang w:eastAsia="zh-CN"/>
        </w:rPr>
        <w:t>附件：</w:t>
      </w:r>
      <w:r>
        <w:rPr>
          <w:rFonts w:hint="eastAsia" w:ascii="华文中宋" w:hAnsi="华文中宋" w:eastAsia="华文中宋" w:cs="华文中宋"/>
          <w:b/>
          <w:bCs/>
          <w:sz w:val="36"/>
          <w:szCs w:val="32"/>
          <w:highlight w:val="none"/>
        </w:rPr>
        <w:t>技术标准</w:t>
      </w:r>
    </w:p>
    <w:p>
      <w:pPr>
        <w:widowControl/>
        <w:spacing w:line="560" w:lineRule="exact"/>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eastAsia="zh-CN"/>
        </w:rPr>
        <w:t>一、</w:t>
      </w:r>
      <w:r>
        <w:rPr>
          <w:rFonts w:ascii="仿宋" w:hAnsi="仿宋" w:eastAsia="仿宋" w:cs="仿宋"/>
          <w:b/>
          <w:bCs/>
          <w:color w:val="auto"/>
          <w:sz w:val="24"/>
          <w:highlight w:val="none"/>
        </w:rPr>
        <w:t>安全隔离与信息交换系统</w:t>
      </w:r>
      <w:r>
        <w:rPr>
          <w:rFonts w:hint="eastAsia" w:ascii="仿宋" w:hAnsi="仿宋" w:eastAsia="仿宋" w:cs="仿宋"/>
          <w:b/>
          <w:bCs/>
          <w:color w:val="auto"/>
          <w:sz w:val="24"/>
          <w:highlight w:val="none"/>
        </w:rPr>
        <w: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877"/>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spacing w:line="360" w:lineRule="auto"/>
              <w:rPr>
                <w:b/>
                <w:bCs/>
                <w:highlight w:val="none"/>
              </w:rPr>
            </w:pPr>
            <w:r>
              <w:rPr>
                <w:rFonts w:hint="eastAsia" w:ascii="宋体" w:hAnsi="宋体" w:eastAsia="宋体"/>
                <w:b/>
                <w:bCs/>
                <w:highlight w:val="none"/>
              </w:rPr>
              <w:t>序号</w:t>
            </w:r>
          </w:p>
        </w:tc>
        <w:tc>
          <w:tcPr>
            <w:tcW w:w="877" w:type="dxa"/>
            <w:vAlign w:val="center"/>
          </w:tcPr>
          <w:p>
            <w:pPr>
              <w:spacing w:line="360" w:lineRule="auto"/>
              <w:jc w:val="center"/>
              <w:rPr>
                <w:b/>
                <w:bCs/>
                <w:highlight w:val="none"/>
              </w:rPr>
            </w:pPr>
            <w:r>
              <w:rPr>
                <w:rFonts w:hint="eastAsia" w:ascii="宋体" w:hAnsi="宋体" w:eastAsia="宋体"/>
                <w:b/>
                <w:bCs/>
                <w:highlight w:val="none"/>
              </w:rPr>
              <w:t>指标项</w:t>
            </w:r>
          </w:p>
        </w:tc>
        <w:tc>
          <w:tcPr>
            <w:tcW w:w="6803" w:type="dxa"/>
            <w:vAlign w:val="center"/>
          </w:tcPr>
          <w:p>
            <w:pPr>
              <w:spacing w:line="360" w:lineRule="auto"/>
              <w:jc w:val="center"/>
              <w:rPr>
                <w:b/>
                <w:bCs/>
                <w:highlight w:val="none"/>
              </w:rPr>
            </w:pPr>
            <w:r>
              <w:rPr>
                <w:rFonts w:hint="eastAsia" w:ascii="宋体" w:hAnsi="宋体" w:eastAsia="宋体"/>
                <w:b/>
                <w:bCs/>
                <w:highlight w:val="none"/>
              </w:rPr>
              <w:t>指标参数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restart"/>
            <w:vAlign w:val="center"/>
          </w:tcPr>
          <w:p>
            <w:pPr>
              <w:spacing w:line="360" w:lineRule="auto"/>
              <w:jc w:val="center"/>
              <w:rPr>
                <w:rFonts w:hint="eastAsia" w:ascii="宋体" w:hAnsi="宋体" w:eastAsia="宋体"/>
                <w:highlight w:val="none"/>
              </w:rPr>
            </w:pPr>
            <w:r>
              <w:rPr>
                <w:rFonts w:hint="eastAsia" w:ascii="宋体" w:hAnsi="宋体" w:eastAsia="宋体"/>
                <w:highlight w:val="none"/>
              </w:rPr>
              <w:t>基本</w:t>
            </w:r>
          </w:p>
          <w:p>
            <w:pPr>
              <w:spacing w:line="360" w:lineRule="auto"/>
              <w:jc w:val="center"/>
              <w:rPr>
                <w:highlight w:val="none"/>
              </w:rPr>
            </w:pPr>
            <w:r>
              <w:rPr>
                <w:rFonts w:hint="eastAsia" w:ascii="宋体" w:hAnsi="宋体" w:eastAsia="宋体"/>
                <w:highlight w:val="none"/>
              </w:rPr>
              <w:t>要求</w:t>
            </w:r>
          </w:p>
        </w:tc>
        <w:tc>
          <w:tcPr>
            <w:tcW w:w="6803" w:type="dxa"/>
            <w:vAlign w:val="center"/>
          </w:tcPr>
          <w:p>
            <w:pPr>
              <w:spacing w:line="360" w:lineRule="auto"/>
              <w:rPr>
                <w:highlight w:val="none"/>
              </w:rPr>
            </w:pPr>
            <w:r>
              <w:rPr>
                <w:rFonts w:hint="eastAsia" w:ascii="宋体" w:hAnsi="宋体" w:eastAsia="宋体"/>
                <w:highlight w:val="none"/>
              </w:rPr>
              <w:t>网络层吞吐量≥2Gbps，最大并发连接数≥40万，时延(us)≤2ms；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jc w:val="center"/>
              <w:rPr>
                <w:highlight w:val="none"/>
              </w:rPr>
            </w:pPr>
          </w:p>
        </w:tc>
        <w:tc>
          <w:tcPr>
            <w:tcW w:w="6803" w:type="dxa"/>
            <w:vAlign w:val="center"/>
          </w:tcPr>
          <w:p>
            <w:pPr>
              <w:spacing w:line="360" w:lineRule="auto"/>
              <w:rPr>
                <w:highlight w:val="none"/>
              </w:rPr>
            </w:pPr>
            <w:r>
              <w:rPr>
                <w:rFonts w:hint="eastAsia" w:ascii="宋体" w:hAnsi="宋体" w:eastAsia="宋体"/>
                <w:highlight w:val="none"/>
              </w:rPr>
              <w:t>2U机架式设备，系统内外网各配置≥1个RJ45串口、≥1个GE管理口，≥6个千兆电口，≥2个千兆SFP光口，≥2个SFP+万兆光口，含交流冗余电源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restart"/>
            <w:vAlign w:val="center"/>
          </w:tcPr>
          <w:p>
            <w:pPr>
              <w:spacing w:line="360" w:lineRule="auto"/>
              <w:jc w:val="center"/>
              <w:rPr>
                <w:highlight w:val="none"/>
              </w:rPr>
            </w:pPr>
            <w:r>
              <w:rPr>
                <w:rFonts w:hint="eastAsia" w:ascii="宋体" w:hAnsi="宋体" w:eastAsia="宋体"/>
                <w:highlight w:val="none"/>
              </w:rPr>
              <w:t>可视化</w:t>
            </w:r>
          </w:p>
        </w:tc>
        <w:tc>
          <w:tcPr>
            <w:tcW w:w="6803" w:type="dxa"/>
            <w:vAlign w:val="center"/>
          </w:tcPr>
          <w:p>
            <w:pPr>
              <w:spacing w:line="360" w:lineRule="auto"/>
              <w:rPr>
                <w:highlight w:val="none"/>
              </w:rPr>
            </w:pPr>
            <w:r>
              <w:rPr>
                <w:rFonts w:hint="eastAsia" w:ascii="宋体" w:hAnsi="宋体" w:eastAsia="宋体"/>
                <w:highlight w:val="none"/>
              </w:rPr>
              <w:t>支持展示内外网接口状态信息，方便快速判别接口状态是否正常。支持显示接口</w:t>
            </w:r>
            <w:r>
              <w:rPr>
                <w:rFonts w:ascii="宋体" w:hAnsi="宋体" w:eastAsia="宋体"/>
                <w:highlight w:val="none"/>
              </w:rPr>
              <w:t>IP、接口连接、接口接收、接口发送速率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可自定义设备名称和设备位置，更方便的对设备信息统一管理和记录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支持展示实时告警信息，包括告警类型、源对象、目的对象、时间、详情等信息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restart"/>
            <w:vAlign w:val="center"/>
          </w:tcPr>
          <w:p>
            <w:pPr>
              <w:spacing w:line="360" w:lineRule="auto"/>
              <w:rPr>
                <w:highlight w:val="none"/>
              </w:rPr>
            </w:pPr>
            <w:r>
              <w:rPr>
                <w:rFonts w:hint="eastAsia" w:ascii="宋体" w:hAnsi="宋体" w:eastAsia="宋体"/>
                <w:highlight w:val="none"/>
              </w:rPr>
              <w:t>网页访问</w:t>
            </w:r>
          </w:p>
        </w:tc>
        <w:tc>
          <w:tcPr>
            <w:tcW w:w="6803" w:type="dxa"/>
            <w:vAlign w:val="center"/>
          </w:tcPr>
          <w:p>
            <w:pPr>
              <w:spacing w:line="360" w:lineRule="auto"/>
              <w:rPr>
                <w:highlight w:val="none"/>
              </w:rPr>
            </w:pPr>
            <w:r>
              <w:rPr>
                <w:rFonts w:hint="eastAsia" w:ascii="宋体" w:hAnsi="宋体" w:eastAsia="宋体"/>
                <w:highlight w:val="none"/>
              </w:rPr>
              <w:t>支持</w:t>
            </w:r>
            <w:r>
              <w:rPr>
                <w:rFonts w:ascii="宋体" w:hAnsi="宋体" w:eastAsia="宋体"/>
                <w:highlight w:val="none"/>
              </w:rPr>
              <w:t>HTTP、HTTPS服务访问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支持对源、目的对象、服务、通道、代理端口、自定义时间对象、日志记录等配置（提供功能截图并加盖厂商公章）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支持对网页应用访问策略进行复制，减轻运维工作量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restart"/>
            <w:vAlign w:val="center"/>
          </w:tcPr>
          <w:p>
            <w:pPr>
              <w:spacing w:line="360" w:lineRule="auto"/>
              <w:rPr>
                <w:highlight w:val="none"/>
              </w:rPr>
            </w:pPr>
            <w:r>
              <w:rPr>
                <w:rFonts w:hint="eastAsia" w:ascii="宋体" w:hAnsi="宋体" w:eastAsia="宋体"/>
                <w:highlight w:val="none"/>
              </w:rPr>
              <w:t>邮件访问</w:t>
            </w:r>
          </w:p>
        </w:tc>
        <w:tc>
          <w:tcPr>
            <w:tcW w:w="6803" w:type="dxa"/>
            <w:vAlign w:val="center"/>
          </w:tcPr>
          <w:p>
            <w:pPr>
              <w:spacing w:line="360" w:lineRule="auto"/>
              <w:rPr>
                <w:highlight w:val="none"/>
              </w:rPr>
            </w:pPr>
            <w:r>
              <w:rPr>
                <w:rFonts w:hint="eastAsia" w:ascii="宋体" w:hAnsi="宋体" w:eastAsia="宋体"/>
                <w:highlight w:val="none"/>
              </w:rPr>
              <w:t>支持</w:t>
            </w:r>
            <w:r>
              <w:rPr>
                <w:rFonts w:ascii="宋体" w:hAnsi="宋体" w:eastAsia="宋体"/>
                <w:highlight w:val="none"/>
              </w:rPr>
              <w:t>POP3、IMAP、SMTP邮件服务访问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支持对服务端、客户端超时时间配置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支持对不同策略的单独启停，保证在线业务的连续性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支持协议控制功能，开启此功能后可进行阻断、记录日志、协议还原等动作。可对发件人、收件人、抄送人、标题、附件名、附件大小、附件内容、正文、命令、备注等进行配置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restart"/>
            <w:vAlign w:val="center"/>
          </w:tcPr>
          <w:p>
            <w:pPr>
              <w:spacing w:line="360" w:lineRule="auto"/>
              <w:rPr>
                <w:highlight w:val="none"/>
              </w:rPr>
            </w:pPr>
            <w:r>
              <w:rPr>
                <w:rFonts w:hint="eastAsia" w:ascii="宋体" w:hAnsi="宋体" w:eastAsia="宋体"/>
                <w:highlight w:val="none"/>
              </w:rPr>
              <w:t>文件访问</w:t>
            </w:r>
          </w:p>
        </w:tc>
        <w:tc>
          <w:tcPr>
            <w:tcW w:w="6803" w:type="dxa"/>
            <w:vAlign w:val="center"/>
          </w:tcPr>
          <w:p>
            <w:pPr>
              <w:spacing w:line="360" w:lineRule="auto"/>
              <w:rPr>
                <w:highlight w:val="none"/>
              </w:rPr>
            </w:pPr>
            <w:r>
              <w:rPr>
                <w:rFonts w:hint="eastAsia" w:ascii="宋体" w:hAnsi="宋体" w:eastAsia="宋体"/>
                <w:highlight w:val="none"/>
              </w:rPr>
              <w:t>支持</w:t>
            </w:r>
            <w:r>
              <w:rPr>
                <w:rFonts w:ascii="宋体" w:hAnsi="宋体" w:eastAsia="宋体"/>
                <w:highlight w:val="none"/>
              </w:rPr>
              <w:t>FTPS、SMB文件服务访问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入侵防护功能，其中入侵防护可根据需要选择全部入侵检测规则、拒绝服务类攻击事件、获取权限类攻击事件、可疑网络活动类事件、网络监控类事件、蠕虫事件、病毒事件、攻击事件等规则库。开启此功能后可进行阻断、记录日志、异常报文存储等动作（提供功能截图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支持协议控制功能，开启此功能后可进行阻断、记录日志、协议还原等动作。可对上传和下载文件大小、上传和下载文件类型（视频、音频、图片、文档、动态库、压缩文件、可执行程序等）、命令（</w:t>
            </w:r>
            <w:r>
              <w:rPr>
                <w:rFonts w:ascii="宋体" w:hAnsi="宋体" w:eastAsia="宋体"/>
                <w:highlight w:val="none"/>
              </w:rPr>
              <w:t>ABOR、ACCT、ALLO、APPE、AUTH等）、文件名过滤、文件内容、备注等进行配置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restart"/>
            <w:vAlign w:val="center"/>
          </w:tcPr>
          <w:p>
            <w:pPr>
              <w:spacing w:line="360" w:lineRule="auto"/>
              <w:rPr>
                <w:highlight w:val="none"/>
              </w:rPr>
            </w:pPr>
            <w:r>
              <w:rPr>
                <w:rFonts w:hint="eastAsia" w:ascii="宋体" w:hAnsi="宋体" w:eastAsia="宋体"/>
                <w:highlight w:val="none"/>
              </w:rPr>
              <w:t>数据库访问</w:t>
            </w:r>
          </w:p>
        </w:tc>
        <w:tc>
          <w:tcPr>
            <w:tcW w:w="6803" w:type="dxa"/>
            <w:vAlign w:val="center"/>
          </w:tcPr>
          <w:p>
            <w:pPr>
              <w:spacing w:line="360" w:lineRule="auto"/>
              <w:rPr>
                <w:highlight w:val="none"/>
              </w:rPr>
            </w:pPr>
            <w:r>
              <w:rPr>
                <w:rFonts w:hint="eastAsia" w:ascii="宋体" w:hAnsi="宋体" w:eastAsia="宋体"/>
                <w:highlight w:val="none"/>
              </w:rPr>
              <w:t>支持</w:t>
            </w:r>
            <w:r>
              <w:rPr>
                <w:rFonts w:ascii="宋体" w:hAnsi="宋体" w:eastAsia="宋体"/>
                <w:highlight w:val="none"/>
              </w:rPr>
              <w:t>Oracle、PostgreSQL、DB2、Gbase、DM、Kingbase、SQLserver、MySQL等数据库应用访问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支持协议控制功能，开启此功能后可进行阻断、记录日志、协议还原等动作。</w:t>
            </w:r>
            <w:r>
              <w:rPr>
                <w:rFonts w:ascii="宋体" w:hAnsi="宋体" w:eastAsia="宋体"/>
                <w:highlight w:val="none"/>
              </w:rPr>
              <w:t xml:space="preserve"> 可对协议类型、用户名、数据库名、数据库表、命令等进行配置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restart"/>
            <w:vAlign w:val="center"/>
          </w:tcPr>
          <w:p>
            <w:pPr>
              <w:spacing w:line="360" w:lineRule="auto"/>
              <w:rPr>
                <w:highlight w:val="none"/>
              </w:rPr>
            </w:pPr>
            <w:r>
              <w:rPr>
                <w:rFonts w:hint="eastAsia" w:ascii="宋体" w:hAnsi="宋体" w:eastAsia="宋体"/>
                <w:highlight w:val="none"/>
              </w:rPr>
              <w:t>远程访问</w:t>
            </w:r>
          </w:p>
        </w:tc>
        <w:tc>
          <w:tcPr>
            <w:tcW w:w="6803" w:type="dxa"/>
            <w:vAlign w:val="center"/>
          </w:tcPr>
          <w:p>
            <w:pPr>
              <w:spacing w:line="360" w:lineRule="auto"/>
              <w:rPr>
                <w:highlight w:val="none"/>
              </w:rPr>
            </w:pPr>
            <w:r>
              <w:rPr>
                <w:rFonts w:hint="eastAsia" w:ascii="宋体" w:hAnsi="宋体" w:eastAsia="宋体"/>
                <w:highlight w:val="none"/>
              </w:rPr>
              <w:t>支持</w:t>
            </w:r>
            <w:r>
              <w:rPr>
                <w:rFonts w:ascii="宋体" w:hAnsi="宋体" w:eastAsia="宋体"/>
                <w:highlight w:val="none"/>
              </w:rPr>
              <w:t>telnet、ssh、msrdp服务访问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支持协议控制功能，开启此功能后可进行阻断、记录日志、协议还原等动作。可对协议用户名、协议、命令（</w:t>
            </w:r>
            <w:r>
              <w:rPr>
                <w:rFonts w:ascii="宋体" w:hAnsi="宋体" w:eastAsia="宋体"/>
                <w:highlight w:val="none"/>
              </w:rPr>
              <w:t>EOF、SUSP、ABORT、EOR、NOP等）进行配置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restart"/>
            <w:vAlign w:val="center"/>
          </w:tcPr>
          <w:p>
            <w:pPr>
              <w:spacing w:line="360" w:lineRule="auto"/>
              <w:rPr>
                <w:highlight w:val="none"/>
              </w:rPr>
            </w:pPr>
            <w:r>
              <w:rPr>
                <w:rFonts w:hint="eastAsia" w:ascii="宋体" w:hAnsi="宋体" w:eastAsia="宋体"/>
                <w:highlight w:val="none"/>
              </w:rPr>
              <w:t>视频交换</w:t>
            </w:r>
          </w:p>
        </w:tc>
        <w:tc>
          <w:tcPr>
            <w:tcW w:w="6803" w:type="dxa"/>
            <w:vAlign w:val="center"/>
          </w:tcPr>
          <w:p>
            <w:pPr>
              <w:spacing w:line="360" w:lineRule="auto"/>
              <w:rPr>
                <w:highlight w:val="none"/>
              </w:rPr>
            </w:pPr>
            <w:r>
              <w:rPr>
                <w:rFonts w:hint="eastAsia" w:ascii="宋体" w:hAnsi="宋体" w:eastAsia="宋体"/>
                <w:highlight w:val="none"/>
              </w:rPr>
              <w:t>支持</w:t>
            </w:r>
            <w:r>
              <w:rPr>
                <w:rFonts w:ascii="宋体" w:hAnsi="宋体" w:eastAsia="宋体"/>
                <w:highlight w:val="none"/>
              </w:rPr>
              <w:t>SIP、RTSP等主流视频传输及控制协议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符合</w:t>
            </w:r>
            <w:r>
              <w:rPr>
                <w:rFonts w:ascii="宋体" w:hAnsi="宋体" w:eastAsia="宋体"/>
                <w:highlight w:val="none"/>
              </w:rPr>
              <w:t>GB/T28181-2022最新规范要求</w:t>
            </w:r>
            <w:r>
              <w:rPr>
                <w:rFonts w:hint="eastAsia" w:ascii="宋体" w:hAnsi="宋体" w:eastAsia="宋体"/>
                <w:highlight w:val="none"/>
              </w:rPr>
              <w:t>（提供功能截图和测试报告并加盖投标人公章）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restart"/>
            <w:vAlign w:val="center"/>
          </w:tcPr>
          <w:p>
            <w:pPr>
              <w:spacing w:line="360" w:lineRule="auto"/>
              <w:rPr>
                <w:highlight w:val="none"/>
              </w:rPr>
            </w:pPr>
            <w:r>
              <w:rPr>
                <w:rFonts w:hint="eastAsia" w:ascii="宋体" w:hAnsi="宋体" w:eastAsia="宋体"/>
                <w:highlight w:val="none"/>
              </w:rPr>
              <w:t>IPMAC绑定</w:t>
            </w:r>
          </w:p>
        </w:tc>
        <w:tc>
          <w:tcPr>
            <w:tcW w:w="6803" w:type="dxa"/>
            <w:vAlign w:val="center"/>
          </w:tcPr>
          <w:p>
            <w:pPr>
              <w:spacing w:line="360" w:lineRule="auto"/>
              <w:rPr>
                <w:highlight w:val="none"/>
              </w:rPr>
            </w:pPr>
            <w:r>
              <w:rPr>
                <w:rFonts w:hint="eastAsia" w:ascii="宋体" w:hAnsi="宋体" w:eastAsia="宋体"/>
                <w:highlight w:val="none"/>
              </w:rPr>
              <w:t>支持</w:t>
            </w:r>
            <w:r>
              <w:rPr>
                <w:rFonts w:ascii="宋体" w:hAnsi="宋体" w:eastAsia="宋体"/>
                <w:highlight w:val="none"/>
              </w:rPr>
              <w:t>IPMAC绑定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支持对</w:t>
            </w:r>
            <w:r>
              <w:rPr>
                <w:rFonts w:ascii="宋体" w:hAnsi="宋体" w:eastAsia="宋体"/>
                <w:highlight w:val="none"/>
              </w:rPr>
              <w:t>IPMAC表的导入导出，文件导出以文件加密形式导出</w:t>
            </w:r>
            <w:r>
              <w:rPr>
                <w:rFonts w:hint="eastAsia" w:ascii="宋体" w:hAnsi="宋体" w:eastAsia="宋体"/>
                <w:highlight w:val="none"/>
              </w:rPr>
              <w:t>（提供功能截图并加盖投标人公章）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restart"/>
            <w:vAlign w:val="center"/>
          </w:tcPr>
          <w:p>
            <w:pPr>
              <w:spacing w:line="360" w:lineRule="auto"/>
              <w:rPr>
                <w:highlight w:val="none"/>
              </w:rPr>
            </w:pPr>
            <w:r>
              <w:rPr>
                <w:rFonts w:hint="eastAsia" w:ascii="宋体" w:hAnsi="宋体" w:eastAsia="宋体"/>
                <w:highlight w:val="none"/>
              </w:rPr>
              <w:t>报表管理</w:t>
            </w:r>
          </w:p>
        </w:tc>
        <w:tc>
          <w:tcPr>
            <w:tcW w:w="6803" w:type="dxa"/>
            <w:vAlign w:val="center"/>
          </w:tcPr>
          <w:p>
            <w:pPr>
              <w:spacing w:line="360" w:lineRule="auto"/>
              <w:rPr>
                <w:highlight w:val="none"/>
              </w:rPr>
            </w:pPr>
            <w:r>
              <w:rPr>
                <w:rFonts w:hint="eastAsia" w:ascii="宋体" w:hAnsi="宋体" w:eastAsia="宋体"/>
                <w:highlight w:val="none"/>
              </w:rPr>
              <w:t>支持报表任务功能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支持自定义时间查询、支持根据业务类型查询、文件名称等条件查询（提供功能截图并加盖投标人公章）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支持基于业务类型、文件名称、文件类型（</w:t>
            </w:r>
            <w:r>
              <w:rPr>
                <w:rFonts w:ascii="宋体" w:hAnsi="宋体" w:eastAsia="宋体"/>
                <w:highlight w:val="none"/>
              </w:rPr>
              <w:t>html、pdf、word等）、时间（日报、周报、月报等）等进行新建报表任务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Align w:val="center"/>
          </w:tcPr>
          <w:p>
            <w:pPr>
              <w:spacing w:line="360" w:lineRule="auto"/>
              <w:rPr>
                <w:highlight w:val="none"/>
              </w:rPr>
            </w:pPr>
            <w:r>
              <w:rPr>
                <w:rFonts w:hint="eastAsia" w:ascii="宋体" w:hAnsi="宋体" w:eastAsia="宋体"/>
                <w:highlight w:val="none"/>
              </w:rPr>
              <w:t>系统控制</w:t>
            </w:r>
          </w:p>
        </w:tc>
        <w:tc>
          <w:tcPr>
            <w:tcW w:w="6803" w:type="dxa"/>
            <w:vAlign w:val="center"/>
          </w:tcPr>
          <w:p>
            <w:pPr>
              <w:spacing w:line="360" w:lineRule="auto"/>
              <w:rPr>
                <w:highlight w:val="none"/>
              </w:rPr>
            </w:pPr>
            <w:r>
              <w:rPr>
                <w:rFonts w:hint="eastAsia" w:ascii="宋体" w:hAnsi="宋体" w:eastAsia="宋体"/>
                <w:highlight w:val="none"/>
              </w:rPr>
              <w:t>支持对单个应用模块进行重启，不影响其他功能模块的使用。客户远程管理时支持界面一键关机，不需要繁琐的串口配置进入后台进行强制关机（提供功能截图并加盖投标人公章）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restart"/>
            <w:vAlign w:val="center"/>
          </w:tcPr>
          <w:p>
            <w:pPr>
              <w:spacing w:line="360" w:lineRule="auto"/>
              <w:rPr>
                <w:highlight w:val="none"/>
              </w:rPr>
            </w:pPr>
            <w:r>
              <w:rPr>
                <w:rFonts w:hint="eastAsia" w:ascii="宋体" w:hAnsi="宋体" w:eastAsia="宋体"/>
                <w:highlight w:val="none"/>
              </w:rPr>
              <w:t>产品资质</w:t>
            </w:r>
          </w:p>
        </w:tc>
        <w:tc>
          <w:tcPr>
            <w:tcW w:w="6803" w:type="dxa"/>
            <w:vAlign w:val="center"/>
          </w:tcPr>
          <w:p>
            <w:pPr>
              <w:spacing w:line="360" w:lineRule="auto"/>
              <w:rPr>
                <w:highlight w:val="none"/>
              </w:rPr>
            </w:pPr>
            <w:r>
              <w:rPr>
                <w:rFonts w:hint="eastAsia" w:ascii="宋体" w:hAnsi="宋体" w:eastAsia="宋体"/>
                <w:highlight w:val="none"/>
              </w:rPr>
              <w:t>应具有中国网络安全审查技术与认证中心颁发的《网络关键设备和网络安全专用产品安全认证证书》（提供证书复印件并加盖投标人公章）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6" w:type="dxa"/>
            <w:vAlign w:val="center"/>
          </w:tcPr>
          <w:p>
            <w:pPr>
              <w:widowControl/>
              <w:numPr>
                <w:ilvl w:val="0"/>
                <w:numId w:val="1"/>
              </w:numPr>
              <w:adjustRightInd w:val="0"/>
              <w:snapToGrid w:val="0"/>
              <w:spacing w:line="360" w:lineRule="auto"/>
              <w:ind w:left="0" w:firstLine="0"/>
              <w:rPr>
                <w:highlight w:val="none"/>
              </w:rPr>
            </w:pPr>
          </w:p>
        </w:tc>
        <w:tc>
          <w:tcPr>
            <w:tcW w:w="877" w:type="dxa"/>
            <w:vMerge w:val="continue"/>
            <w:vAlign w:val="center"/>
          </w:tcPr>
          <w:p>
            <w:pPr>
              <w:spacing w:line="360" w:lineRule="auto"/>
              <w:rPr>
                <w:highlight w:val="none"/>
              </w:rPr>
            </w:pPr>
          </w:p>
        </w:tc>
        <w:tc>
          <w:tcPr>
            <w:tcW w:w="6803" w:type="dxa"/>
            <w:vAlign w:val="center"/>
          </w:tcPr>
          <w:p>
            <w:pPr>
              <w:spacing w:line="360" w:lineRule="auto"/>
              <w:rPr>
                <w:highlight w:val="none"/>
              </w:rPr>
            </w:pPr>
            <w:r>
              <w:rPr>
                <w:rFonts w:hint="eastAsia" w:ascii="宋体" w:hAnsi="宋体" w:eastAsia="宋体"/>
                <w:highlight w:val="none"/>
              </w:rPr>
              <w:t>应具有IPv6 Ready Logo颁发的《IPv6 Ready Logo认证》（提供证书复印件并加盖投标人公章）</w:t>
            </w:r>
          </w:p>
        </w:tc>
      </w:tr>
    </w:tbl>
    <w:p>
      <w:pPr>
        <w:widowControl/>
        <w:spacing w:line="560" w:lineRule="exact"/>
        <w:ind w:firstLine="482" w:firstLineChars="200"/>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eastAsia="zh-CN"/>
        </w:rPr>
        <w:t>二、运维管理系统：</w:t>
      </w:r>
    </w:p>
    <w:tbl>
      <w:tblPr>
        <w:tblStyle w:val="3"/>
        <w:tblW w:w="8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196"/>
        <w:gridCol w:w="6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55" w:type="dxa"/>
            <w:vAlign w:val="center"/>
          </w:tcPr>
          <w:p>
            <w:pPr>
              <w:spacing w:line="360" w:lineRule="auto"/>
              <w:rPr>
                <w:b/>
                <w:bCs/>
                <w:szCs w:val="21"/>
                <w:highlight w:val="none"/>
                <w:lang w:bidi="ar"/>
              </w:rPr>
            </w:pPr>
            <w:r>
              <w:rPr>
                <w:rFonts w:hint="eastAsia" w:ascii="宋体" w:hAnsi="宋体"/>
                <w:b/>
                <w:bCs/>
                <w:szCs w:val="21"/>
                <w:highlight w:val="none"/>
                <w:lang w:bidi="ar"/>
              </w:rPr>
              <w:t>序号</w:t>
            </w:r>
          </w:p>
        </w:tc>
        <w:tc>
          <w:tcPr>
            <w:tcW w:w="1196" w:type="dxa"/>
            <w:vAlign w:val="center"/>
          </w:tcPr>
          <w:p>
            <w:pPr>
              <w:spacing w:line="360" w:lineRule="auto"/>
              <w:rPr>
                <w:b/>
                <w:bCs/>
                <w:szCs w:val="21"/>
                <w:highlight w:val="none"/>
                <w:lang w:bidi="ar"/>
              </w:rPr>
            </w:pPr>
            <w:r>
              <w:rPr>
                <w:rFonts w:hint="eastAsia" w:ascii="宋体" w:hAnsi="宋体"/>
                <w:b/>
                <w:bCs/>
                <w:szCs w:val="21"/>
                <w:highlight w:val="none"/>
                <w:lang w:bidi="ar"/>
              </w:rPr>
              <w:t>指标项</w:t>
            </w:r>
          </w:p>
        </w:tc>
        <w:tc>
          <w:tcPr>
            <w:tcW w:w="6639" w:type="dxa"/>
            <w:vAlign w:val="center"/>
          </w:tcPr>
          <w:p>
            <w:pPr>
              <w:spacing w:line="360" w:lineRule="auto"/>
              <w:rPr>
                <w:b/>
                <w:bCs/>
                <w:szCs w:val="21"/>
                <w:highlight w:val="none"/>
                <w:lang w:bidi="ar"/>
              </w:rPr>
            </w:pPr>
            <w:r>
              <w:rPr>
                <w:rFonts w:hint="eastAsia" w:ascii="宋体" w:hAnsi="宋体"/>
                <w:b/>
                <w:bCs/>
                <w:szCs w:val="21"/>
                <w:highlight w:val="none"/>
                <w:lang w:bidi="ar"/>
              </w:rPr>
              <w:t>技术规格要求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755" w:type="dxa"/>
            <w:vAlign w:val="center"/>
          </w:tcPr>
          <w:p>
            <w:pPr>
              <w:widowControl/>
              <w:numPr>
                <w:ilvl w:val="0"/>
                <w:numId w:val="2"/>
              </w:numPr>
              <w:adjustRightInd w:val="0"/>
              <w:snapToGrid w:val="0"/>
              <w:spacing w:line="360" w:lineRule="auto"/>
              <w:ind w:left="0" w:firstLine="0"/>
              <w:jc w:val="distribute"/>
              <w:rPr>
                <w:szCs w:val="21"/>
                <w:highlight w:val="none"/>
                <w:lang w:bidi="ar"/>
              </w:rPr>
            </w:pPr>
          </w:p>
        </w:tc>
        <w:tc>
          <w:tcPr>
            <w:tcW w:w="1196" w:type="dxa"/>
            <w:vAlign w:val="center"/>
          </w:tcPr>
          <w:p>
            <w:pPr>
              <w:spacing w:line="360" w:lineRule="auto"/>
              <w:rPr>
                <w:szCs w:val="21"/>
                <w:highlight w:val="none"/>
                <w:lang w:bidi="ar"/>
              </w:rPr>
            </w:pPr>
            <w:r>
              <w:rPr>
                <w:rFonts w:hint="eastAsia" w:ascii="宋体" w:hAnsi="宋体"/>
                <w:szCs w:val="21"/>
                <w:highlight w:val="none"/>
                <w:lang w:bidi="ar"/>
              </w:rPr>
              <w:t>硬件与性能指标</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≥1*100/1000M RJ45自适应以太网口；≥7*千兆电口，≥4*千兆光口，≥2*万兆光口。存储空间不低于4T；最大可管理设备数无限制个。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Align w:val="center"/>
          </w:tcPr>
          <w:p>
            <w:pPr>
              <w:spacing w:line="360" w:lineRule="auto"/>
              <w:rPr>
                <w:szCs w:val="21"/>
                <w:highlight w:val="none"/>
                <w:lang w:bidi="ar"/>
              </w:rPr>
            </w:pPr>
            <w:r>
              <w:rPr>
                <w:rFonts w:hint="eastAsia" w:ascii="宋体" w:hAnsi="宋体"/>
                <w:szCs w:val="21"/>
                <w:highlight w:val="none"/>
                <w:lang w:bidi="ar"/>
              </w:rPr>
              <w:t>网络访问</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支持基于IP的DNAT网络环境部署，通过映射后的IP信息能够访问堡垒机。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restart"/>
            <w:vAlign w:val="center"/>
          </w:tcPr>
          <w:p>
            <w:pPr>
              <w:spacing w:line="360" w:lineRule="auto"/>
              <w:rPr>
                <w:szCs w:val="21"/>
                <w:highlight w:val="none"/>
                <w:lang w:bidi="ar"/>
              </w:rPr>
            </w:pPr>
            <w:r>
              <w:rPr>
                <w:rFonts w:hint="eastAsia" w:ascii="宋体" w:hAnsi="宋体"/>
                <w:szCs w:val="21"/>
                <w:highlight w:val="none"/>
                <w:lang w:bidi="ar"/>
              </w:rPr>
              <w:t>远程访问</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支持基于SDP技术的远程接入，无需额外部署VPN设备。支持服务隐藏功能，开启后，攻击者无法扫描到对应服务端口。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支持客户端在开启VPN的情况下，通过SDP技术和该端口建立安全隧道。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Align w:val="center"/>
          </w:tcPr>
          <w:p>
            <w:pPr>
              <w:spacing w:line="360" w:lineRule="auto"/>
              <w:rPr>
                <w:szCs w:val="21"/>
                <w:highlight w:val="none"/>
                <w:lang w:bidi="ar"/>
              </w:rPr>
            </w:pPr>
            <w:r>
              <w:rPr>
                <w:rFonts w:hint="eastAsia" w:ascii="宋体" w:hAnsi="宋体"/>
                <w:szCs w:val="21"/>
                <w:highlight w:val="none"/>
                <w:lang w:bidi="ar"/>
              </w:rPr>
              <w:t>个性化</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支持页面风格个性化配置，可以自定义“系统名称”、“系统标签”、“系统图标”、“登录页logo”和"网站ico"，无需额外定制。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restart"/>
            <w:vAlign w:val="center"/>
          </w:tcPr>
          <w:p>
            <w:pPr>
              <w:spacing w:line="360" w:lineRule="auto"/>
              <w:rPr>
                <w:szCs w:val="21"/>
                <w:highlight w:val="none"/>
                <w:lang w:bidi="ar"/>
              </w:rPr>
            </w:pPr>
            <w:r>
              <w:rPr>
                <w:rFonts w:hint="eastAsia" w:ascii="宋体" w:hAnsi="宋体"/>
                <w:szCs w:val="21"/>
                <w:highlight w:val="none"/>
                <w:lang w:bidi="ar"/>
              </w:rPr>
              <w:t>客户端</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堡垒机系统支持BS以及CS模式，支持免费专用客户端。支持在windows、linux、麒麟、统信、MAC等操作系统下部署。支持在客户端上完成日常运维工作。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堡垒机专用客户端和堡垒机建立加密隧道，隧道加密算法可按需选择是国密或者标密。（需提供具备检验检测机构资质认定（CMA）和中国合格评定国家认可委员会认证（CNAS）的第三方检验机构的测试报告并加盖</w:t>
            </w:r>
            <w:r>
              <w:rPr>
                <w:rFonts w:hint="eastAsia" w:ascii="宋体" w:hAnsi="宋体" w:eastAsia="宋体"/>
                <w:highlight w:val="none"/>
              </w:rPr>
              <w:t>投标人</w:t>
            </w:r>
            <w:r>
              <w:rPr>
                <w:rFonts w:hint="eastAsia" w:ascii="宋体" w:hAnsi="宋体"/>
                <w:szCs w:val="21"/>
                <w:highlight w:val="none"/>
                <w:lang w:bidi="ar"/>
              </w:rPr>
              <w:t>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Align w:val="center"/>
          </w:tcPr>
          <w:p>
            <w:pPr>
              <w:spacing w:line="360" w:lineRule="auto"/>
              <w:rPr>
                <w:szCs w:val="21"/>
                <w:highlight w:val="none"/>
                <w:lang w:bidi="ar"/>
              </w:rPr>
            </w:pPr>
            <w:r>
              <w:rPr>
                <w:rFonts w:hint="eastAsia" w:ascii="宋体" w:hAnsi="宋体"/>
                <w:szCs w:val="21"/>
                <w:highlight w:val="none"/>
                <w:lang w:bidi="ar"/>
              </w:rPr>
              <w:t>用户角色自定义</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堡垒机具有用户角色权限自定义功能，可对用户进行细粒度权限划分，可细分用户管理，用户角色管理，资产管理，密码管理、策略管理、审计管理，支持不同角色相互组合。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restart"/>
            <w:noWrap/>
            <w:vAlign w:val="center"/>
          </w:tcPr>
          <w:p>
            <w:pPr>
              <w:spacing w:line="360" w:lineRule="auto"/>
              <w:rPr>
                <w:szCs w:val="21"/>
                <w:highlight w:val="none"/>
                <w:lang w:bidi="ar"/>
              </w:rPr>
            </w:pPr>
            <w:r>
              <w:rPr>
                <w:rFonts w:hint="eastAsia" w:ascii="宋体" w:hAnsi="宋体"/>
                <w:szCs w:val="21"/>
                <w:highlight w:val="none"/>
                <w:lang w:bidi="ar"/>
              </w:rPr>
              <w:t>多因子认证</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用户登录堡垒机支持多种认证方式，包括本地静态密码认证、LDAP认证、RADIUS认证、USBKEY认证、PIN+软件OTP、短信认证、企微扫码认证、钉钉扫码认证、OAuth2.0等身份认证方式。（需提供功能截图并加盖</w:t>
            </w:r>
            <w:r>
              <w:rPr>
                <w:rFonts w:hint="eastAsia" w:ascii="宋体" w:hAnsi="宋体" w:eastAsia="宋体"/>
                <w:highlight w:val="none"/>
              </w:rPr>
              <w:t>投标人</w:t>
            </w:r>
            <w:r>
              <w:rPr>
                <w:rFonts w:hint="eastAsia" w:ascii="宋体" w:hAnsi="宋体"/>
                <w:szCs w:val="21"/>
                <w:highlight w:val="none"/>
                <w:lang w:bidi="ar"/>
              </w:rPr>
              <w:t>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支持静态密码认证，支持配置静态密码的期限、最小长度要求、到期提醒、密码强度限制级禁止使用常用密码。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restart"/>
            <w:vAlign w:val="center"/>
          </w:tcPr>
          <w:p>
            <w:pPr>
              <w:spacing w:line="360" w:lineRule="auto"/>
              <w:rPr>
                <w:szCs w:val="21"/>
                <w:highlight w:val="none"/>
                <w:lang w:bidi="ar"/>
              </w:rPr>
            </w:pPr>
            <w:r>
              <w:rPr>
                <w:rFonts w:hint="eastAsia" w:ascii="宋体" w:hAnsi="宋体"/>
                <w:szCs w:val="21"/>
                <w:highlight w:val="none"/>
                <w:lang w:bidi="ar"/>
              </w:rPr>
              <w:t>资产运维</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支持通过堡垒机直接代理HTTP/HTTPS协议，无需前置机。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支持RDP、X11、VNC、SSH、TELNET、RLOGIN、SFTP、FTP、SAMBA协议的HTML5运维，无需本地运维客户端。支持通过H5文件运维的方式上传和下载文件。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当客户端需要进行单点登录时，直接向堡垒机发送该跨域访问cookie信息，客户端仅根据堡垒机发送的包含用户信息的响应数据包即可实现单点登录，无须在客户端中安装专用登录系统，提供国家知识产权局或中国信息安全测评中心颁发的相关证明及证书并加盖</w:t>
            </w:r>
            <w:r>
              <w:rPr>
                <w:rFonts w:hint="eastAsia" w:ascii="宋体" w:hAnsi="宋体" w:eastAsia="宋体"/>
                <w:highlight w:val="none"/>
              </w:rPr>
              <w:t>投标人</w:t>
            </w:r>
            <w:r>
              <w:rPr>
                <w:rFonts w:hint="eastAsia" w:ascii="宋体" w:hAnsi="宋体"/>
                <w:szCs w:val="21"/>
                <w:highlight w:val="none"/>
                <w:lang w:bidi="ar"/>
              </w:rPr>
              <w:t>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支持通过PC/Web Portal唤起本地浏览器来访问目标网页，包括chrome、edge、firefox等常用浏览器。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获取用户在客户端远程桌面上进行图形运维操作所对应的、通过堡垒机发往服务器的事件请求，根据事件请求获取事件类型，根据事件类型获取权重值，获取服务器根据事件请求而返回的响应画面集，提供国家知识产权局或中国信息安全测评中心颁发的相关证明及证书并加盖</w:t>
            </w:r>
            <w:r>
              <w:rPr>
                <w:rFonts w:hint="eastAsia" w:ascii="宋体" w:hAnsi="宋体" w:eastAsia="宋体"/>
                <w:highlight w:val="none"/>
              </w:rPr>
              <w:t>投标人</w:t>
            </w:r>
            <w:r>
              <w:rPr>
                <w:rFonts w:hint="eastAsia" w:ascii="宋体" w:hAnsi="宋体"/>
                <w:szCs w:val="21"/>
                <w:highlight w:val="none"/>
                <w:lang w:bidi="ar"/>
              </w:rPr>
              <w:t>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支持Oracle、MSSQL、MySQL、PostgresSQL、SQL Server、Informix、达梦、人大金仓、南大通用、高斯等数据库协议代理，支持调用本地工具运维，保留运维习惯。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Align w:val="center"/>
          </w:tcPr>
          <w:p>
            <w:pPr>
              <w:spacing w:line="360" w:lineRule="auto"/>
              <w:rPr>
                <w:szCs w:val="21"/>
                <w:highlight w:val="none"/>
                <w:lang w:bidi="ar"/>
              </w:rPr>
            </w:pPr>
            <w:r>
              <w:rPr>
                <w:rFonts w:hint="eastAsia" w:ascii="宋体" w:hAnsi="宋体"/>
                <w:szCs w:val="21"/>
                <w:highlight w:val="none"/>
                <w:lang w:bidi="ar"/>
              </w:rPr>
              <w:t>终端安全基线检查</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终端合规检查策略，包含针对Windows补丁检测、操作系统版本检测、端口检测、进程检测和安装应用检测。支持可由管理员自定义配置合规策略，自定义范围包括但不限于检查项、告警等级、执行操作等。（需提供具备检验检测机构资质认定（CMA）和中国合格评定国家认可委员会认证（CNAS）的第三方检验机构的测试报告并加盖</w:t>
            </w:r>
            <w:r>
              <w:rPr>
                <w:rFonts w:hint="eastAsia" w:ascii="宋体" w:hAnsi="宋体" w:eastAsia="宋体"/>
                <w:highlight w:val="none"/>
              </w:rPr>
              <w:t>投标人</w:t>
            </w:r>
            <w:r>
              <w:rPr>
                <w:rFonts w:hint="eastAsia" w:ascii="宋体" w:hAnsi="宋体"/>
                <w:szCs w:val="21"/>
                <w:highlight w:val="none"/>
                <w:lang w:bidi="ar"/>
              </w:rPr>
              <w:t>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Align w:val="center"/>
          </w:tcPr>
          <w:p>
            <w:pPr>
              <w:spacing w:line="360" w:lineRule="auto"/>
              <w:rPr>
                <w:szCs w:val="21"/>
                <w:highlight w:val="none"/>
                <w:lang w:bidi="ar"/>
              </w:rPr>
            </w:pPr>
            <w:r>
              <w:rPr>
                <w:rFonts w:hint="eastAsia" w:ascii="宋体" w:hAnsi="宋体"/>
                <w:szCs w:val="21"/>
                <w:highlight w:val="none"/>
                <w:lang w:bidi="ar"/>
              </w:rPr>
              <w:t>账号安全基线检查</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账户安全策略，可以对爆破登录、弱密码认证、僵尸账号认证、不合规终端认证、非常用时间使用、非常用终端认证、非常用地理位置认证、非常用网络认证进行识别并采取相关的处置措施，处置措施包括仅告警、警告、增强认证、禁止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Align w:val="center"/>
          </w:tcPr>
          <w:p>
            <w:pPr>
              <w:spacing w:line="360" w:lineRule="auto"/>
              <w:rPr>
                <w:szCs w:val="21"/>
                <w:highlight w:val="none"/>
                <w:lang w:bidi="ar"/>
              </w:rPr>
            </w:pPr>
            <w:r>
              <w:rPr>
                <w:rFonts w:hint="eastAsia" w:ascii="宋体" w:hAnsi="宋体"/>
                <w:szCs w:val="21"/>
                <w:highlight w:val="none"/>
                <w:lang w:bidi="ar"/>
              </w:rPr>
              <w:t>认证策略</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根据机构/角色/访问时间/地理位置/网络地址/终端类型来定义用户的认证方式和是否必须使用双因子认证，精细化管理用户认证策略且在同一策略条件内，支持为不同客户端（桌面端、Web门户）接入用户提供不同认证方式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restart"/>
            <w:vAlign w:val="center"/>
          </w:tcPr>
          <w:p>
            <w:pPr>
              <w:spacing w:line="360" w:lineRule="auto"/>
              <w:rPr>
                <w:szCs w:val="21"/>
                <w:highlight w:val="none"/>
                <w:lang w:bidi="ar"/>
              </w:rPr>
            </w:pPr>
            <w:r>
              <w:rPr>
                <w:rFonts w:hint="eastAsia" w:ascii="宋体" w:hAnsi="宋体"/>
                <w:szCs w:val="21"/>
                <w:highlight w:val="none"/>
                <w:lang w:bidi="ar"/>
              </w:rPr>
              <w:t>授权策略</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支持基于组织机构、角色、属性和账户的静态授权，通过不同授权模型满足运维管控要求。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支持基于网络、位置、时间的动态授权，并支持仅告警、二次认证、授权审批和阻断的授权管理动作。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Align w:val="center"/>
          </w:tcPr>
          <w:p>
            <w:pPr>
              <w:spacing w:line="360" w:lineRule="auto"/>
              <w:rPr>
                <w:szCs w:val="21"/>
                <w:highlight w:val="none"/>
                <w:lang w:bidi="ar"/>
              </w:rPr>
            </w:pPr>
            <w:r>
              <w:rPr>
                <w:rFonts w:hint="eastAsia" w:ascii="宋体" w:hAnsi="宋体"/>
                <w:szCs w:val="21"/>
                <w:highlight w:val="none"/>
                <w:lang w:bidi="ar"/>
              </w:rPr>
              <w:t>运维管控</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支持可通过参数配置开启或关闭字符、图形、文件等协议运维行为审计，但不影响对应协议的会话审计，以便满足客户防范涉密运维行为泄露。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Align w:val="center"/>
          </w:tcPr>
          <w:p>
            <w:pPr>
              <w:spacing w:line="360" w:lineRule="auto"/>
              <w:rPr>
                <w:szCs w:val="21"/>
                <w:highlight w:val="none"/>
                <w:lang w:bidi="ar"/>
              </w:rPr>
            </w:pPr>
            <w:r>
              <w:rPr>
                <w:rFonts w:hint="eastAsia" w:ascii="宋体" w:hAnsi="宋体"/>
                <w:szCs w:val="21"/>
                <w:highlight w:val="none"/>
                <w:lang w:bidi="ar"/>
              </w:rPr>
              <w:t>日志管理</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支持运维审计，审计日志包括认证日志、授权日志、网页审计、图形审计、字符审计、文件审计、数据库审计、隧道日志、系统日志。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Align w:val="center"/>
          </w:tcPr>
          <w:p>
            <w:pPr>
              <w:spacing w:line="360" w:lineRule="auto"/>
              <w:rPr>
                <w:szCs w:val="21"/>
                <w:highlight w:val="none"/>
                <w:lang w:bidi="ar"/>
              </w:rPr>
            </w:pPr>
            <w:r>
              <w:rPr>
                <w:rFonts w:hint="eastAsia" w:ascii="宋体" w:hAnsi="宋体"/>
                <w:szCs w:val="21"/>
                <w:highlight w:val="none"/>
                <w:lang w:bidi="ar"/>
              </w:rPr>
              <w:t>自动化运维</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支持自动化运维，支持自定义自动化脚本，可在线编辑和本地导入。支持设定任务为手动、定时和周期执行方式。支持登录后自动执行脚本，执行完后堡垒机保存运维记录。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restart"/>
            <w:vAlign w:val="center"/>
          </w:tcPr>
          <w:p>
            <w:pPr>
              <w:spacing w:line="360" w:lineRule="auto"/>
              <w:rPr>
                <w:szCs w:val="21"/>
                <w:highlight w:val="none"/>
                <w:lang w:bidi="ar"/>
              </w:rPr>
            </w:pPr>
            <w:r>
              <w:rPr>
                <w:rFonts w:hint="eastAsia" w:ascii="宋体" w:hAnsi="宋体"/>
                <w:szCs w:val="21"/>
                <w:highlight w:val="none"/>
                <w:lang w:bidi="ar"/>
              </w:rPr>
              <w:t>产品资质</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产品具备通过全球IPv6测试中心IPv6 Ready Logo测试认证。（提供加盖投标人公章的证书复印件）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产品拥有软件著作权证书，厂家需具备产品自主知识产权。（提供加盖投标人公章的证书复印件）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产品拥有信息技术产品安全测评证书（分级评估证书EAL3+）。（提供加盖投标人公章的证书复印件）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restart"/>
            <w:vAlign w:val="center"/>
          </w:tcPr>
          <w:p>
            <w:pPr>
              <w:spacing w:line="360" w:lineRule="auto"/>
              <w:rPr>
                <w:szCs w:val="21"/>
                <w:highlight w:val="none"/>
                <w:lang w:bidi="ar"/>
              </w:rPr>
            </w:pPr>
            <w:r>
              <w:rPr>
                <w:rFonts w:hint="eastAsia" w:ascii="宋体" w:hAnsi="宋体"/>
                <w:szCs w:val="21"/>
                <w:highlight w:val="none"/>
                <w:lang w:bidi="ar"/>
              </w:rPr>
              <w:t>厂商资质</w:t>
            </w:r>
          </w:p>
        </w:tc>
        <w:tc>
          <w:tcPr>
            <w:tcW w:w="6639" w:type="dxa"/>
            <w:vAlign w:val="center"/>
          </w:tcPr>
          <w:p>
            <w:pPr>
              <w:spacing w:line="360" w:lineRule="auto"/>
              <w:rPr>
                <w:szCs w:val="21"/>
                <w:highlight w:val="none"/>
                <w:lang w:bidi="ar"/>
              </w:rPr>
            </w:pPr>
            <w:r>
              <w:rPr>
                <w:rFonts w:hint="eastAsia" w:ascii="宋体" w:hAnsi="宋体"/>
                <w:szCs w:val="21"/>
                <w:highlight w:val="none"/>
                <w:lang w:bidi="ar"/>
              </w:rPr>
              <w:t>厂商获得数据安全服务能力评定资格证书-数据安全评估二级评定能力。（提供加盖投标人公章的证书复印件）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厂商获得中国信息安全测评中心颁发的安全开发类二级或以上认证（级别说明：三级&gt;二级&gt;一级）。（提供加盖投标人公章的证书复印件）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755" w:type="dxa"/>
            <w:vAlign w:val="center"/>
          </w:tcPr>
          <w:p>
            <w:pPr>
              <w:widowControl/>
              <w:numPr>
                <w:ilvl w:val="0"/>
                <w:numId w:val="2"/>
              </w:numPr>
              <w:adjustRightInd w:val="0"/>
              <w:snapToGrid w:val="0"/>
              <w:spacing w:line="360" w:lineRule="auto"/>
              <w:ind w:left="0" w:firstLine="0"/>
              <w:jc w:val="left"/>
              <w:rPr>
                <w:szCs w:val="21"/>
                <w:highlight w:val="none"/>
                <w:lang w:bidi="ar"/>
              </w:rPr>
            </w:pPr>
          </w:p>
        </w:tc>
        <w:tc>
          <w:tcPr>
            <w:tcW w:w="1196" w:type="dxa"/>
            <w:vMerge w:val="continue"/>
            <w:vAlign w:val="center"/>
          </w:tcPr>
          <w:p>
            <w:pPr>
              <w:spacing w:line="360" w:lineRule="auto"/>
              <w:rPr>
                <w:szCs w:val="21"/>
                <w:highlight w:val="none"/>
                <w:lang w:bidi="ar"/>
              </w:rPr>
            </w:pPr>
          </w:p>
        </w:tc>
        <w:tc>
          <w:tcPr>
            <w:tcW w:w="6639" w:type="dxa"/>
            <w:vAlign w:val="center"/>
          </w:tcPr>
          <w:p>
            <w:pPr>
              <w:spacing w:line="360" w:lineRule="auto"/>
              <w:rPr>
                <w:szCs w:val="21"/>
                <w:highlight w:val="none"/>
                <w:lang w:bidi="ar"/>
              </w:rPr>
            </w:pPr>
            <w:r>
              <w:rPr>
                <w:rFonts w:hint="eastAsia" w:ascii="宋体" w:hAnsi="宋体"/>
                <w:szCs w:val="21"/>
                <w:highlight w:val="none"/>
                <w:lang w:bidi="ar"/>
              </w:rPr>
              <w:t>为满足国家采购管理规定关于保护环境的要求，设备厂商应通过温室气体核查ISO 14064-1:2018的认证。（提供加盖投标人公章的证书复印件）</w:t>
            </w:r>
          </w:p>
        </w:tc>
      </w:tr>
    </w:tbl>
    <w:p>
      <w:pPr>
        <w:widowControl/>
        <w:spacing w:line="560" w:lineRule="exact"/>
        <w:ind w:firstLine="482" w:firstLineChars="200"/>
        <w:rPr>
          <w:rFonts w:hint="eastAsia" w:ascii="仿宋" w:hAnsi="仿宋" w:eastAsia="仿宋" w:cs="仿宋"/>
          <w:b/>
          <w:bCs/>
          <w:sz w:val="24"/>
          <w:highlight w:val="none"/>
        </w:rPr>
      </w:pPr>
    </w:p>
    <w:p>
      <w:pPr>
        <w:widowControl/>
        <w:spacing w:line="560" w:lineRule="exact"/>
        <w:ind w:firstLine="482" w:firstLineChars="200"/>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eastAsia="zh-CN"/>
        </w:rPr>
        <w:t>三、上网行为管理系统：</w:t>
      </w:r>
    </w:p>
    <w:tbl>
      <w:tblPr>
        <w:tblStyle w:val="3"/>
        <w:tblW w:w="84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196"/>
        <w:gridCol w:w="64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55" w:type="dxa"/>
            <w:vAlign w:val="center"/>
          </w:tcPr>
          <w:p>
            <w:pPr>
              <w:spacing w:line="360" w:lineRule="auto"/>
              <w:rPr>
                <w:b/>
                <w:bCs/>
                <w:szCs w:val="21"/>
                <w:highlight w:val="none"/>
                <w:lang w:bidi="ar"/>
              </w:rPr>
            </w:pPr>
            <w:r>
              <w:rPr>
                <w:rFonts w:hint="eastAsia" w:ascii="宋体" w:hAnsi="宋体"/>
                <w:b/>
                <w:bCs/>
                <w:szCs w:val="21"/>
                <w:highlight w:val="none"/>
                <w:lang w:bidi="ar"/>
              </w:rPr>
              <w:t>序号</w:t>
            </w:r>
          </w:p>
        </w:tc>
        <w:tc>
          <w:tcPr>
            <w:tcW w:w="1196" w:type="dxa"/>
            <w:vAlign w:val="center"/>
          </w:tcPr>
          <w:p>
            <w:pPr>
              <w:spacing w:line="360" w:lineRule="auto"/>
              <w:rPr>
                <w:b/>
                <w:bCs/>
                <w:szCs w:val="21"/>
                <w:highlight w:val="none"/>
                <w:lang w:bidi="ar"/>
              </w:rPr>
            </w:pPr>
            <w:r>
              <w:rPr>
                <w:rFonts w:hint="eastAsia" w:ascii="宋体" w:hAnsi="宋体"/>
                <w:b/>
                <w:bCs/>
                <w:szCs w:val="21"/>
                <w:highlight w:val="none"/>
                <w:lang w:bidi="ar"/>
              </w:rPr>
              <w:t>指标项</w:t>
            </w:r>
          </w:p>
        </w:tc>
        <w:tc>
          <w:tcPr>
            <w:tcW w:w="6453" w:type="dxa"/>
            <w:vAlign w:val="center"/>
          </w:tcPr>
          <w:p>
            <w:pPr>
              <w:spacing w:line="360" w:lineRule="auto"/>
              <w:rPr>
                <w:b/>
                <w:bCs/>
                <w:szCs w:val="21"/>
                <w:highlight w:val="none"/>
                <w:lang w:bidi="ar"/>
              </w:rPr>
            </w:pPr>
            <w:r>
              <w:rPr>
                <w:rFonts w:hint="eastAsia" w:ascii="宋体" w:hAnsi="宋体"/>
                <w:b/>
                <w:bCs/>
                <w:szCs w:val="21"/>
                <w:highlight w:val="none"/>
                <w:lang w:bidi="ar"/>
              </w:rPr>
              <w:t>技术规格要求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755" w:type="dxa"/>
            <w:vAlign w:val="center"/>
          </w:tcPr>
          <w:p>
            <w:pPr>
              <w:widowControl/>
              <w:adjustRightInd w:val="0"/>
              <w:snapToGrid w:val="0"/>
              <w:spacing w:line="360" w:lineRule="auto"/>
              <w:rPr>
                <w:szCs w:val="21"/>
                <w:highlight w:val="none"/>
                <w:lang w:bidi="ar"/>
              </w:rPr>
            </w:pPr>
            <w:r>
              <w:rPr>
                <w:rFonts w:hint="eastAsia"/>
                <w:szCs w:val="21"/>
                <w:highlight w:val="none"/>
                <w:lang w:bidi="ar"/>
              </w:rPr>
              <w:t>1.</w:t>
            </w:r>
          </w:p>
        </w:tc>
        <w:tc>
          <w:tcPr>
            <w:tcW w:w="1196" w:type="dxa"/>
            <w:vMerge w:val="restart"/>
            <w:vAlign w:val="center"/>
          </w:tcPr>
          <w:p>
            <w:pPr>
              <w:spacing w:line="360" w:lineRule="auto"/>
              <w:rPr>
                <w:szCs w:val="21"/>
                <w:highlight w:val="none"/>
                <w:lang w:bidi="ar"/>
              </w:rPr>
            </w:pPr>
            <w:r>
              <w:rPr>
                <w:rFonts w:hint="eastAsia" w:ascii="宋体" w:hAnsi="宋体"/>
                <w:szCs w:val="21"/>
                <w:highlight w:val="none"/>
                <w:lang w:bidi="ar"/>
              </w:rPr>
              <w:t>硬件与性能指标</w:t>
            </w:r>
          </w:p>
        </w:tc>
        <w:tc>
          <w:tcPr>
            <w:tcW w:w="6453" w:type="dxa"/>
            <w:vAlign w:val="center"/>
          </w:tcPr>
          <w:p>
            <w:pPr>
              <w:spacing w:line="360" w:lineRule="auto"/>
              <w:rPr>
                <w:rFonts w:hint="eastAsia" w:ascii="宋体" w:hAnsi="宋体"/>
                <w:szCs w:val="21"/>
                <w:highlight w:val="none"/>
                <w:lang w:bidi="ar"/>
              </w:rPr>
            </w:pPr>
            <w:r>
              <w:rPr>
                <w:rFonts w:hint="eastAsia" w:ascii="宋体" w:hAnsi="宋体"/>
                <w:szCs w:val="21"/>
                <w:highlight w:val="none"/>
                <w:lang w:bidi="ar"/>
              </w:rPr>
              <w:t>硬件指标：2U机架式设备,国产芯片和国产操作系统,1个console口,2个USB接口, ≥6个千兆电口,4个干兆光口插槽(不含光模块)，支持2对电口Bypass,双电源,3个扩展槽位，内存:32G,日志存储硬盘:4T,Msata卡:8G；</w:t>
            </w:r>
          </w:p>
          <w:p>
            <w:pPr>
              <w:spacing w:line="360" w:lineRule="auto"/>
              <w:rPr>
                <w:szCs w:val="21"/>
                <w:highlight w:val="none"/>
                <w:lang w:bidi="ar"/>
              </w:rPr>
            </w:pPr>
            <w:r>
              <w:rPr>
                <w:rFonts w:hint="eastAsia"/>
                <w:szCs w:val="21"/>
                <w:highlight w:val="none"/>
                <w:lang w:bidi="ar"/>
              </w:rPr>
              <w:t>软硬件质保</w:t>
            </w:r>
            <w:r>
              <w:rPr>
                <w:rFonts w:hint="eastAsia" w:ascii="宋体" w:hAnsi="宋体"/>
                <w:szCs w:val="21"/>
                <w:highlight w:val="none"/>
                <w:lang w:bidi="ar"/>
              </w:rPr>
              <w:t>≥3年，≥3年特征库升级授权；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755" w:type="dxa"/>
            <w:vAlign w:val="center"/>
          </w:tcPr>
          <w:p>
            <w:pPr>
              <w:widowControl/>
              <w:adjustRightInd w:val="0"/>
              <w:snapToGrid w:val="0"/>
              <w:spacing w:line="360" w:lineRule="auto"/>
              <w:jc w:val="left"/>
              <w:rPr>
                <w:szCs w:val="21"/>
                <w:highlight w:val="none"/>
                <w:lang w:bidi="ar"/>
              </w:rPr>
            </w:pPr>
            <w:r>
              <w:rPr>
                <w:rFonts w:hint="eastAsia"/>
                <w:szCs w:val="21"/>
                <w:highlight w:val="none"/>
                <w:lang w:bidi="ar"/>
              </w:rPr>
              <w:t>2.</w:t>
            </w:r>
          </w:p>
        </w:tc>
        <w:tc>
          <w:tcPr>
            <w:tcW w:w="1196" w:type="dxa"/>
            <w:vMerge w:val="continue"/>
            <w:vAlign w:val="center"/>
          </w:tcPr>
          <w:p>
            <w:pPr>
              <w:spacing w:line="360" w:lineRule="auto"/>
              <w:rPr>
                <w:szCs w:val="21"/>
                <w:highlight w:val="none"/>
                <w:lang w:bidi="ar"/>
              </w:rPr>
            </w:pPr>
          </w:p>
        </w:tc>
        <w:tc>
          <w:tcPr>
            <w:tcW w:w="6453" w:type="dxa"/>
            <w:vAlign w:val="center"/>
          </w:tcPr>
          <w:p>
            <w:pPr>
              <w:spacing w:line="360" w:lineRule="auto"/>
              <w:rPr>
                <w:rFonts w:hint="eastAsia" w:ascii="宋体" w:hAnsi="宋体"/>
                <w:szCs w:val="21"/>
                <w:highlight w:val="none"/>
                <w:lang w:bidi="ar"/>
              </w:rPr>
            </w:pPr>
            <w:r>
              <w:rPr>
                <w:rFonts w:hint="eastAsia" w:ascii="宋体" w:hAnsi="宋体"/>
                <w:szCs w:val="21"/>
                <w:highlight w:val="none"/>
                <w:lang w:bidi="ar"/>
              </w:rPr>
              <w:t>性能指标：带宽性能≥2.5G，应用层吞吐量≥2G，网络吞吐量≥12G,最大并发连接数≥500W,新建连接数≥15W,审计与管控IP数≥16000(不包含认证)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755" w:type="dxa"/>
            <w:vAlign w:val="center"/>
          </w:tcPr>
          <w:p>
            <w:pPr>
              <w:widowControl/>
              <w:adjustRightInd w:val="0"/>
              <w:snapToGrid w:val="0"/>
              <w:spacing w:line="360" w:lineRule="auto"/>
              <w:jc w:val="left"/>
              <w:rPr>
                <w:szCs w:val="21"/>
                <w:highlight w:val="none"/>
                <w:lang w:bidi="ar"/>
              </w:rPr>
            </w:pPr>
            <w:r>
              <w:rPr>
                <w:rFonts w:hint="eastAsia"/>
                <w:szCs w:val="21"/>
                <w:highlight w:val="none"/>
                <w:lang w:bidi="ar"/>
              </w:rPr>
              <w:t>3.</w:t>
            </w:r>
          </w:p>
        </w:tc>
        <w:tc>
          <w:tcPr>
            <w:tcW w:w="1196" w:type="dxa"/>
            <w:vAlign w:val="center"/>
          </w:tcPr>
          <w:p>
            <w:pPr>
              <w:spacing w:line="360" w:lineRule="auto"/>
              <w:rPr>
                <w:szCs w:val="21"/>
                <w:highlight w:val="none"/>
                <w:lang w:bidi="ar"/>
              </w:rPr>
            </w:pPr>
            <w:r>
              <w:rPr>
                <w:rFonts w:hint="eastAsia"/>
                <w:szCs w:val="21"/>
                <w:highlight w:val="none"/>
                <w:lang w:bidi="ar"/>
              </w:rPr>
              <w:t>运维管理</w:t>
            </w:r>
          </w:p>
        </w:tc>
        <w:tc>
          <w:tcPr>
            <w:tcW w:w="6453" w:type="dxa"/>
            <w:vAlign w:val="center"/>
          </w:tcPr>
          <w:p>
            <w:pPr>
              <w:rPr>
                <w:highlight w:val="none"/>
              </w:rPr>
            </w:pPr>
            <w:r>
              <w:rPr>
                <w:rFonts w:hint="eastAsia"/>
                <w:highlight w:val="none"/>
              </w:rPr>
              <w:t>一键下载设备健康信息，当设备发生故障时如丢包、宕机、异常重启等问题时可以通过设备健康信息获取有效数据，能够快速定位问题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755" w:type="dxa"/>
            <w:vAlign w:val="center"/>
          </w:tcPr>
          <w:p>
            <w:pPr>
              <w:widowControl/>
              <w:adjustRightInd w:val="0"/>
              <w:snapToGrid w:val="0"/>
              <w:spacing w:line="360" w:lineRule="auto"/>
              <w:jc w:val="left"/>
              <w:rPr>
                <w:szCs w:val="21"/>
                <w:highlight w:val="none"/>
                <w:lang w:bidi="ar"/>
              </w:rPr>
            </w:pPr>
            <w:r>
              <w:rPr>
                <w:rFonts w:hint="eastAsia"/>
                <w:szCs w:val="21"/>
                <w:highlight w:val="none"/>
                <w:lang w:bidi="ar"/>
              </w:rPr>
              <w:t>4.</w:t>
            </w:r>
          </w:p>
        </w:tc>
        <w:tc>
          <w:tcPr>
            <w:tcW w:w="1196" w:type="dxa"/>
            <w:vMerge w:val="restart"/>
            <w:vAlign w:val="center"/>
          </w:tcPr>
          <w:p>
            <w:pPr>
              <w:spacing w:line="360" w:lineRule="auto"/>
              <w:rPr>
                <w:szCs w:val="21"/>
                <w:highlight w:val="none"/>
                <w:lang w:bidi="ar"/>
              </w:rPr>
            </w:pPr>
            <w:r>
              <w:rPr>
                <w:rFonts w:hint="eastAsia"/>
                <w:szCs w:val="21"/>
                <w:highlight w:val="none"/>
                <w:lang w:bidi="ar"/>
              </w:rPr>
              <w:t>网络安全</w:t>
            </w:r>
          </w:p>
        </w:tc>
        <w:tc>
          <w:tcPr>
            <w:tcW w:w="6453" w:type="dxa"/>
            <w:vAlign w:val="center"/>
          </w:tcPr>
          <w:p>
            <w:pPr>
              <w:rPr>
                <w:highlight w:val="none"/>
              </w:rPr>
            </w:pPr>
            <w:r>
              <w:rPr>
                <w:rFonts w:hint="eastAsia"/>
                <w:highlight w:val="none"/>
              </w:rPr>
              <w:t>支持隐藏设备源地址，替换成可自定义的伪装地址</w:t>
            </w:r>
          </w:p>
          <w:p>
            <w:pPr>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755" w:type="dxa"/>
            <w:vAlign w:val="center"/>
          </w:tcPr>
          <w:p>
            <w:pPr>
              <w:widowControl/>
              <w:adjustRightInd w:val="0"/>
              <w:snapToGrid w:val="0"/>
              <w:spacing w:line="360" w:lineRule="auto"/>
              <w:jc w:val="left"/>
              <w:rPr>
                <w:szCs w:val="21"/>
                <w:highlight w:val="none"/>
                <w:lang w:bidi="ar"/>
              </w:rPr>
            </w:pPr>
            <w:r>
              <w:rPr>
                <w:rFonts w:hint="eastAsia"/>
                <w:szCs w:val="21"/>
                <w:highlight w:val="none"/>
                <w:lang w:bidi="ar"/>
              </w:rPr>
              <w:t>5.</w:t>
            </w:r>
          </w:p>
        </w:tc>
        <w:tc>
          <w:tcPr>
            <w:tcW w:w="1196" w:type="dxa"/>
            <w:vMerge w:val="continue"/>
            <w:vAlign w:val="center"/>
          </w:tcPr>
          <w:p>
            <w:pPr>
              <w:spacing w:line="360" w:lineRule="auto"/>
              <w:rPr>
                <w:szCs w:val="21"/>
                <w:highlight w:val="none"/>
                <w:lang w:bidi="ar"/>
              </w:rPr>
            </w:pPr>
          </w:p>
        </w:tc>
        <w:tc>
          <w:tcPr>
            <w:tcW w:w="6453" w:type="dxa"/>
            <w:vAlign w:val="center"/>
          </w:tcPr>
          <w:p>
            <w:pPr>
              <w:rPr>
                <w:highlight w:val="none"/>
              </w:rPr>
            </w:pPr>
            <w:r>
              <w:rPr>
                <w:rFonts w:hint="eastAsia"/>
                <w:highlight w:val="none"/>
              </w:rPr>
              <w:t xml:space="preserve">支持对TCP、UDP、ICMP、TCP SYN超时时间，无回应UDP超时时间设置，并能支持按照新建会话与总会话比例设置老化开始或者结束 </w:t>
            </w:r>
          </w:p>
          <w:p>
            <w:pPr>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755" w:type="dxa"/>
            <w:vAlign w:val="center"/>
          </w:tcPr>
          <w:p>
            <w:pPr>
              <w:widowControl/>
              <w:adjustRightInd w:val="0"/>
              <w:snapToGrid w:val="0"/>
              <w:spacing w:line="360" w:lineRule="auto"/>
              <w:jc w:val="left"/>
              <w:rPr>
                <w:szCs w:val="21"/>
                <w:highlight w:val="none"/>
                <w:lang w:bidi="ar"/>
              </w:rPr>
            </w:pPr>
            <w:r>
              <w:rPr>
                <w:rFonts w:hint="eastAsia"/>
                <w:szCs w:val="21"/>
                <w:highlight w:val="none"/>
                <w:lang w:bidi="ar"/>
              </w:rPr>
              <w:t>6.</w:t>
            </w:r>
          </w:p>
        </w:tc>
        <w:tc>
          <w:tcPr>
            <w:tcW w:w="1196" w:type="dxa"/>
            <w:vAlign w:val="center"/>
          </w:tcPr>
          <w:p>
            <w:pPr>
              <w:spacing w:line="360" w:lineRule="auto"/>
              <w:rPr>
                <w:szCs w:val="21"/>
                <w:highlight w:val="none"/>
                <w:lang w:bidi="ar"/>
              </w:rPr>
            </w:pPr>
            <w:r>
              <w:rPr>
                <w:rFonts w:hint="eastAsia"/>
                <w:szCs w:val="21"/>
                <w:highlight w:val="none"/>
                <w:lang w:bidi="ar"/>
              </w:rPr>
              <w:t>日志报表</w:t>
            </w:r>
          </w:p>
        </w:tc>
        <w:tc>
          <w:tcPr>
            <w:tcW w:w="6453" w:type="dxa"/>
            <w:vAlign w:val="center"/>
          </w:tcPr>
          <w:p>
            <w:pPr>
              <w:rPr>
                <w:highlight w:val="none"/>
              </w:rPr>
            </w:pPr>
            <w:bookmarkStart w:id="0" w:name="_GoBack"/>
            <w:bookmarkEnd w:id="0"/>
            <w:r>
              <w:rPr>
                <w:rFonts w:hint="eastAsia"/>
                <w:highlight w:val="none"/>
              </w:rPr>
              <w:t xml:space="preserve">支持所有访问的会话日志记录，包括: 源 IP、目的 IP、协议类型、七层应用名称、源端口、目的端口、是否进行 NAT 转换(可显示转换后的 IP 和端口)、会话产生的时间和会话持续时间.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755" w:type="dxa"/>
            <w:vAlign w:val="center"/>
          </w:tcPr>
          <w:p>
            <w:pPr>
              <w:widowControl/>
              <w:adjustRightInd w:val="0"/>
              <w:snapToGrid w:val="0"/>
              <w:spacing w:line="360" w:lineRule="auto"/>
              <w:jc w:val="left"/>
              <w:rPr>
                <w:szCs w:val="21"/>
                <w:highlight w:val="none"/>
                <w:lang w:bidi="ar"/>
              </w:rPr>
            </w:pPr>
            <w:r>
              <w:rPr>
                <w:rFonts w:hint="eastAsia"/>
                <w:szCs w:val="21"/>
                <w:highlight w:val="none"/>
                <w:lang w:bidi="ar"/>
              </w:rPr>
              <w:t>7.</w:t>
            </w:r>
          </w:p>
        </w:tc>
        <w:tc>
          <w:tcPr>
            <w:tcW w:w="1196" w:type="dxa"/>
            <w:vAlign w:val="center"/>
          </w:tcPr>
          <w:p>
            <w:pPr>
              <w:spacing w:line="360" w:lineRule="auto"/>
              <w:rPr>
                <w:szCs w:val="21"/>
                <w:highlight w:val="none"/>
                <w:lang w:bidi="ar"/>
              </w:rPr>
            </w:pPr>
            <w:r>
              <w:rPr>
                <w:rFonts w:hint="eastAsia" w:ascii="宋体" w:hAnsi="宋体"/>
                <w:szCs w:val="21"/>
                <w:highlight w:val="none"/>
                <w:lang w:bidi="ar"/>
              </w:rPr>
              <w:t>厂商资质</w:t>
            </w:r>
          </w:p>
        </w:tc>
        <w:tc>
          <w:tcPr>
            <w:tcW w:w="6453" w:type="dxa"/>
            <w:vAlign w:val="center"/>
          </w:tcPr>
          <w:p>
            <w:pPr>
              <w:spacing w:line="360" w:lineRule="auto"/>
              <w:rPr>
                <w:szCs w:val="21"/>
                <w:highlight w:val="none"/>
                <w:lang w:bidi="ar"/>
              </w:rPr>
            </w:pPr>
            <w:r>
              <w:rPr>
                <w:rFonts w:hint="eastAsia"/>
                <w:highlight w:val="none"/>
              </w:rPr>
              <w:t>为保障安全厂商的信息系统建设及服务能力，安全厂商应通过4级信息系统建设及服务能力评估（需提供证书复印件，并加盖投标人公章）</w:t>
            </w:r>
          </w:p>
        </w:tc>
      </w:tr>
    </w:tbl>
    <w:p>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5DEE07"/>
    <w:multiLevelType w:val="singleLevel"/>
    <w:tmpl w:val="9D5DEE07"/>
    <w:lvl w:ilvl="0" w:tentative="0">
      <w:start w:val="1"/>
      <w:numFmt w:val="decimal"/>
      <w:lvlText w:val="%1."/>
      <w:lvlJc w:val="left"/>
      <w:pPr>
        <w:ind w:left="425" w:hanging="425"/>
      </w:pPr>
      <w:rPr>
        <w:rFonts w:hint="default"/>
      </w:rPr>
    </w:lvl>
  </w:abstractNum>
  <w:abstractNum w:abstractNumId="1">
    <w:nsid w:val="ACBF8618"/>
    <w:multiLevelType w:val="singleLevel"/>
    <w:tmpl w:val="ACBF8618"/>
    <w:lvl w:ilvl="0" w:tentative="0">
      <w:start w:val="1"/>
      <w:numFmt w:val="decimal"/>
      <w:lvlText w:val="%1."/>
      <w:lvlJc w:val="left"/>
      <w:pPr>
        <w:ind w:left="850"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hODVlZDg3MzgxNmNkZDFkNDM5Njc1ZGZiZGE3ZjAifQ=="/>
  </w:docVars>
  <w:rsids>
    <w:rsidRoot w:val="049D26BA"/>
    <w:rsid w:val="04584E45"/>
    <w:rsid w:val="049D26BA"/>
    <w:rsid w:val="11421D1E"/>
    <w:rsid w:val="232748D0"/>
    <w:rsid w:val="516E3547"/>
    <w:rsid w:val="633E4CE0"/>
    <w:rsid w:val="6BC32289"/>
    <w:rsid w:val="6F3477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3850</Words>
  <Characters>4337</Characters>
  <Lines>0</Lines>
  <Paragraphs>0</Paragraphs>
  <TotalTime>210</TotalTime>
  <ScaleCrop>false</ScaleCrop>
  <LinksUpToDate>false</LinksUpToDate>
  <CharactersWithSpaces>4359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2026-07-30T02:39:00Z</dcterms:created>
  <dc:creator>张仕玉</dc:creator>
  <cp:lastModifiedBy>张仕玉</cp:lastModifiedBy>
  <dcterms:modified xsi:type="dcterms:W3CDTF">2026-07-31T01:56:53Z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DAD008F5CC2245B59139EABF37C626F6_11</vt:lpwstr>
  </property>
</Properties>
</file>