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DD466">
      <w:pPr>
        <w:pStyle w:val="11"/>
        <w:keepNext/>
        <w:keepLines/>
        <w:widowControl w:val="0"/>
        <w:shd w:val="clear" w:color="auto" w:fill="auto"/>
        <w:bidi w:val="0"/>
        <w:spacing w:line="240" w:lineRule="auto"/>
        <w:ind w:left="0" w:right="0" w:firstLine="0"/>
        <w:jc w:val="center"/>
        <w:rPr>
          <w:rFonts w:hint="default"/>
          <w:b/>
          <w:bCs/>
          <w:sz w:val="44"/>
          <w:szCs w:val="44"/>
          <w:lang w:val="en-US"/>
        </w:rPr>
      </w:pPr>
      <w:bookmarkStart w:id="0" w:name="bookmark0"/>
      <w:r>
        <w:rPr>
          <w:rStyle w:val="10"/>
          <w:b/>
          <w:bCs/>
          <w:i w:val="0"/>
          <w:iCs w:val="0"/>
          <w:smallCaps w:val="0"/>
          <w:strike w:val="0"/>
          <w:sz w:val="44"/>
          <w:szCs w:val="44"/>
        </w:rPr>
        <w:t>珠海市第五人民医院智慧医气运营服务项目需求</w:t>
      </w:r>
      <w:bookmarkEnd w:id="0"/>
      <w:r>
        <w:rPr>
          <w:rStyle w:val="10"/>
          <w:rFonts w:hint="eastAsia"/>
          <w:b/>
          <w:bCs/>
          <w:i w:val="0"/>
          <w:iCs w:val="0"/>
          <w:smallCaps w:val="0"/>
          <w:strike w:val="0"/>
          <w:sz w:val="44"/>
          <w:szCs w:val="44"/>
          <w:lang w:val="en-US"/>
        </w:rPr>
        <w:t>书</w:t>
      </w:r>
    </w:p>
    <w:p w14:paraId="2DD37797">
      <w:pPr>
        <w:pStyle w:val="17"/>
        <w:keepNext w:val="0"/>
        <w:keepLines w:val="0"/>
        <w:widowControl w:val="0"/>
        <w:shd w:val="clear" w:color="auto" w:fill="auto"/>
        <w:bidi w:val="0"/>
        <w:spacing w:before="0" w:after="0" w:line="405" w:lineRule="exact"/>
        <w:ind w:left="0" w:right="0" w:firstLine="520"/>
        <w:jc w:val="both"/>
        <w:rPr>
          <w:rStyle w:val="12"/>
          <w:rFonts w:hint="eastAsia" w:ascii="仿宋" w:hAnsi="仿宋" w:eastAsia="仿宋" w:cs="仿宋"/>
          <w:b/>
          <w:bCs/>
          <w:i w:val="0"/>
          <w:iCs w:val="0"/>
          <w:smallCaps w:val="0"/>
          <w:strike w:val="0"/>
          <w:color w:val="000000"/>
          <w:spacing w:val="0"/>
          <w:w w:val="100"/>
          <w:position w:val="0"/>
          <w:sz w:val="28"/>
          <w:szCs w:val="28"/>
          <w:shd w:val="clear" w:color="auto" w:fill="auto"/>
        </w:rPr>
      </w:pPr>
      <w:r>
        <w:rPr>
          <w:rStyle w:val="12"/>
          <w:rFonts w:hint="eastAsia" w:ascii="仿宋" w:hAnsi="仿宋" w:eastAsia="仿宋" w:cs="仿宋"/>
          <w:b/>
          <w:bCs/>
          <w:i w:val="0"/>
          <w:iCs w:val="0"/>
          <w:smallCaps w:val="0"/>
          <w:strike w:val="0"/>
          <w:color w:val="000000"/>
          <w:spacing w:val="0"/>
          <w:w w:val="100"/>
          <w:position w:val="0"/>
          <w:sz w:val="28"/>
          <w:szCs w:val="28"/>
          <w:shd w:val="clear" w:color="auto" w:fill="auto"/>
        </w:rPr>
        <w:t>一、项目内容</w:t>
      </w:r>
    </w:p>
    <w:tbl>
      <w:tblPr>
        <w:tblStyle w:val="7"/>
        <w:tblW w:w="0" w:type="auto"/>
        <w:jc w:val="center"/>
        <w:tblLayout w:type="fixed"/>
        <w:tblCellMar>
          <w:top w:w="0" w:type="dxa"/>
          <w:left w:w="10" w:type="dxa"/>
          <w:bottom w:w="0" w:type="dxa"/>
          <w:right w:w="10" w:type="dxa"/>
        </w:tblCellMar>
      </w:tblPr>
      <w:tblGrid>
        <w:gridCol w:w="1811"/>
        <w:gridCol w:w="1158"/>
        <w:gridCol w:w="6424"/>
      </w:tblGrid>
      <w:tr w14:paraId="376A6052">
        <w:tblPrEx>
          <w:tblCellMar>
            <w:top w:w="0" w:type="dxa"/>
            <w:left w:w="10" w:type="dxa"/>
            <w:bottom w:w="0" w:type="dxa"/>
            <w:right w:w="10" w:type="dxa"/>
          </w:tblCellMar>
        </w:tblPrEx>
        <w:trPr>
          <w:trHeight w:val="611" w:hRule="exact"/>
          <w:jc w:val="center"/>
        </w:trPr>
        <w:tc>
          <w:tcPr>
            <w:tcBorders>
              <w:top w:val="single" w:color="auto" w:sz="4" w:space="0"/>
              <w:left w:val="single" w:color="auto" w:sz="4" w:space="0"/>
            </w:tcBorders>
            <w:shd w:val="clear" w:color="auto" w:fill="auto"/>
            <w:vAlign w:val="center"/>
          </w:tcPr>
          <w:p w14:paraId="61813E7C">
            <w:pPr>
              <w:pStyle w:val="15"/>
              <w:keepNext w:val="0"/>
              <w:keepLines w:val="0"/>
              <w:widowControl w:val="0"/>
              <w:shd w:val="clear" w:color="auto" w:fill="auto"/>
              <w:bidi w:val="0"/>
              <w:spacing w:before="0" w:after="0" w:line="240" w:lineRule="auto"/>
              <w:ind w:left="0" w:right="0" w:firstLine="0"/>
              <w:jc w:val="center"/>
              <w:rPr>
                <w:rFonts w:hint="default"/>
                <w:sz w:val="24"/>
                <w:szCs w:val="24"/>
                <w:lang w:val="en-US"/>
              </w:rPr>
            </w:pPr>
            <w:r>
              <w:rPr>
                <w:rStyle w:val="14"/>
                <w:rFonts w:ascii="黑体" w:hAnsi="黑体" w:eastAsia="黑体" w:cs="黑体"/>
                <w:b w:val="0"/>
                <w:bCs w:val="0"/>
                <w:i w:val="0"/>
                <w:iCs w:val="0"/>
                <w:smallCaps w:val="0"/>
                <w:strike w:val="0"/>
                <w:sz w:val="24"/>
                <w:szCs w:val="24"/>
              </w:rPr>
              <w:t>标的</w:t>
            </w:r>
            <w:r>
              <w:rPr>
                <w:rStyle w:val="14"/>
                <w:rFonts w:hint="eastAsia" w:ascii="黑体" w:hAnsi="黑体" w:eastAsia="黑体" w:cs="黑体"/>
                <w:b w:val="0"/>
                <w:bCs w:val="0"/>
                <w:i w:val="0"/>
                <w:iCs w:val="0"/>
                <w:smallCaps w:val="0"/>
                <w:strike w:val="0"/>
                <w:sz w:val="24"/>
                <w:szCs w:val="24"/>
                <w:lang w:val="en-US"/>
              </w:rPr>
              <w:t>名称</w:t>
            </w:r>
          </w:p>
        </w:tc>
        <w:tc>
          <w:tcPr>
            <w:tcW w:w="1158" w:type="dxa"/>
            <w:tcBorders>
              <w:top w:val="single" w:color="auto" w:sz="4" w:space="0"/>
              <w:left w:val="single" w:color="auto" w:sz="4" w:space="0"/>
            </w:tcBorders>
            <w:shd w:val="clear" w:color="auto" w:fill="auto"/>
            <w:vAlign w:val="center"/>
          </w:tcPr>
          <w:p w14:paraId="4DA31258">
            <w:pPr>
              <w:pStyle w:val="15"/>
              <w:keepNext w:val="0"/>
              <w:keepLines w:val="0"/>
              <w:widowControl w:val="0"/>
              <w:shd w:val="clear" w:color="auto" w:fill="auto"/>
              <w:bidi w:val="0"/>
              <w:spacing w:before="0" w:after="0" w:line="240" w:lineRule="auto"/>
              <w:ind w:left="0" w:right="0" w:firstLine="0"/>
              <w:jc w:val="center"/>
              <w:rPr>
                <w:rFonts w:hint="default" w:eastAsia="宋体"/>
                <w:sz w:val="15"/>
                <w:szCs w:val="15"/>
                <w:lang w:val="en-US" w:eastAsia="zh-CN"/>
              </w:rPr>
            </w:pPr>
            <w:r>
              <w:rPr>
                <w:rStyle w:val="14"/>
                <w:rFonts w:hint="eastAsia" w:ascii="黑体" w:hAnsi="黑体" w:eastAsia="黑体" w:cs="黑体"/>
                <w:b w:val="0"/>
                <w:bCs w:val="0"/>
                <w:i w:val="0"/>
                <w:iCs w:val="0"/>
                <w:smallCaps w:val="0"/>
                <w:strike w:val="0"/>
                <w:sz w:val="24"/>
                <w:szCs w:val="24"/>
                <w:lang w:val="en-US" w:eastAsia="zh-CN"/>
              </w:rPr>
              <w:t>服务期限</w:t>
            </w:r>
          </w:p>
        </w:tc>
        <w:tc>
          <w:tcPr>
            <w:tcW w:w="6424" w:type="dxa"/>
            <w:tcBorders>
              <w:top w:val="single" w:color="auto" w:sz="4" w:space="0"/>
              <w:left w:val="single" w:color="auto" w:sz="4" w:space="0"/>
              <w:right w:val="single" w:color="auto" w:sz="4" w:space="0"/>
            </w:tcBorders>
            <w:shd w:val="clear" w:color="auto" w:fill="auto"/>
            <w:vAlign w:val="center"/>
          </w:tcPr>
          <w:p w14:paraId="0ED6515E">
            <w:pPr>
              <w:pStyle w:val="15"/>
              <w:keepNext w:val="0"/>
              <w:keepLines w:val="0"/>
              <w:widowControl w:val="0"/>
              <w:shd w:val="clear" w:color="auto" w:fill="auto"/>
              <w:bidi w:val="0"/>
              <w:spacing w:before="0" w:after="0" w:line="240" w:lineRule="auto"/>
              <w:ind w:left="0" w:right="0" w:firstLine="0"/>
              <w:jc w:val="center"/>
              <w:rPr>
                <w:rFonts w:hint="default" w:eastAsia="宋体"/>
                <w:sz w:val="24"/>
                <w:szCs w:val="24"/>
                <w:lang w:val="en-US" w:eastAsia="zh-CN"/>
              </w:rPr>
            </w:pPr>
            <w:r>
              <w:rPr>
                <w:rStyle w:val="14"/>
                <w:rFonts w:hint="eastAsia" w:ascii="黑体" w:hAnsi="黑体" w:eastAsia="黑体" w:cs="黑体"/>
                <w:b w:val="0"/>
                <w:bCs w:val="0"/>
                <w:i w:val="0"/>
                <w:iCs w:val="0"/>
                <w:smallCaps w:val="0"/>
                <w:strike w:val="0"/>
                <w:sz w:val="24"/>
                <w:szCs w:val="24"/>
                <w:lang w:val="en-US" w:eastAsia="zh-CN"/>
              </w:rPr>
              <w:t>内容</w:t>
            </w:r>
          </w:p>
        </w:tc>
      </w:tr>
      <w:tr w14:paraId="2A744E93">
        <w:tblPrEx>
          <w:tblCellMar>
            <w:top w:w="0" w:type="dxa"/>
            <w:left w:w="10" w:type="dxa"/>
            <w:bottom w:w="0" w:type="dxa"/>
            <w:right w:w="10" w:type="dxa"/>
          </w:tblCellMar>
        </w:tblPrEx>
        <w:trPr>
          <w:trHeight w:val="1186" w:hRule="exact"/>
          <w:jc w:val="center"/>
        </w:trPr>
        <w:tc>
          <w:tcPr>
            <w:tcBorders>
              <w:top w:val="single" w:color="auto" w:sz="4" w:space="0"/>
              <w:left w:val="single" w:color="auto" w:sz="4" w:space="0"/>
              <w:bottom w:val="single" w:color="auto" w:sz="4" w:space="0"/>
            </w:tcBorders>
            <w:shd w:val="clear" w:color="auto" w:fill="auto"/>
            <w:vAlign w:val="center"/>
          </w:tcPr>
          <w:p w14:paraId="43B2592A">
            <w:pPr>
              <w:pStyle w:val="15"/>
              <w:keepNext w:val="0"/>
              <w:keepLines w:val="0"/>
              <w:widowControl w:val="0"/>
              <w:shd w:val="clear" w:color="auto" w:fill="auto"/>
              <w:bidi w:val="0"/>
              <w:spacing w:before="0" w:after="0" w:line="240" w:lineRule="auto"/>
              <w:ind w:left="0" w:right="0" w:firstLine="0"/>
              <w:jc w:val="center"/>
              <w:rPr>
                <w:rStyle w:val="14"/>
                <w:rFonts w:hint="eastAsia"/>
                <w:b w:val="0"/>
                <w:bCs w:val="0"/>
                <w:i w:val="0"/>
                <w:iCs w:val="0"/>
                <w:smallCaps w:val="0"/>
                <w:strike w:val="0"/>
                <w:sz w:val="24"/>
                <w:szCs w:val="24"/>
                <w:lang w:val="en-US"/>
              </w:rPr>
            </w:pPr>
            <w:r>
              <w:rPr>
                <w:rStyle w:val="14"/>
                <w:rFonts w:hint="eastAsia"/>
                <w:b w:val="0"/>
                <w:bCs w:val="0"/>
                <w:i w:val="0"/>
                <w:iCs w:val="0"/>
                <w:smallCaps w:val="0"/>
                <w:strike w:val="0"/>
                <w:sz w:val="24"/>
                <w:szCs w:val="24"/>
                <w:lang w:val="en-US"/>
              </w:rPr>
              <w:t>智慧医气</w:t>
            </w:r>
          </w:p>
          <w:p w14:paraId="2209D1BE">
            <w:pPr>
              <w:pStyle w:val="15"/>
              <w:keepNext w:val="0"/>
              <w:keepLines w:val="0"/>
              <w:widowControl w:val="0"/>
              <w:shd w:val="clear" w:color="auto" w:fill="auto"/>
              <w:bidi w:val="0"/>
              <w:spacing w:before="0" w:after="0" w:line="240" w:lineRule="auto"/>
              <w:ind w:left="0" w:right="0" w:firstLine="0"/>
              <w:jc w:val="center"/>
              <w:rPr>
                <w:sz w:val="24"/>
                <w:szCs w:val="24"/>
              </w:rPr>
            </w:pPr>
            <w:r>
              <w:rPr>
                <w:rStyle w:val="14"/>
                <w:rFonts w:hint="eastAsia"/>
                <w:b w:val="0"/>
                <w:bCs w:val="0"/>
                <w:i w:val="0"/>
                <w:iCs w:val="0"/>
                <w:smallCaps w:val="0"/>
                <w:strike w:val="0"/>
                <w:sz w:val="24"/>
                <w:szCs w:val="24"/>
                <w:lang w:val="en-US"/>
              </w:rPr>
              <w:t>运营服务</w:t>
            </w:r>
          </w:p>
        </w:tc>
        <w:tc>
          <w:tcPr>
            <w:tcW w:w="1158" w:type="dxa"/>
            <w:tcBorders>
              <w:top w:val="single" w:color="auto" w:sz="4" w:space="0"/>
              <w:left w:val="single" w:color="auto" w:sz="4" w:space="0"/>
              <w:bottom w:val="single" w:color="auto" w:sz="4" w:space="0"/>
            </w:tcBorders>
            <w:shd w:val="clear" w:color="auto" w:fill="auto"/>
            <w:vAlign w:val="center"/>
          </w:tcPr>
          <w:p w14:paraId="109ED71D">
            <w:pPr>
              <w:pStyle w:val="15"/>
              <w:keepNext w:val="0"/>
              <w:keepLines w:val="0"/>
              <w:widowControl w:val="0"/>
              <w:shd w:val="clear" w:color="auto" w:fill="auto"/>
              <w:bidi w:val="0"/>
              <w:spacing w:before="0" w:after="0" w:line="240" w:lineRule="auto"/>
              <w:ind w:left="0" w:right="0" w:firstLine="0"/>
              <w:jc w:val="center"/>
              <w:rPr>
                <w:rFonts w:hint="default"/>
                <w:sz w:val="24"/>
                <w:szCs w:val="24"/>
                <w:lang w:val="en-US"/>
              </w:rPr>
            </w:pPr>
            <w:r>
              <w:rPr>
                <w:rStyle w:val="14"/>
                <w:rFonts w:hint="eastAsia"/>
                <w:b w:val="0"/>
                <w:bCs w:val="0"/>
                <w:i w:val="0"/>
                <w:iCs w:val="0"/>
                <w:smallCaps w:val="0"/>
                <w:strike w:val="0"/>
                <w:sz w:val="24"/>
                <w:szCs w:val="24"/>
                <w:lang w:val="en-US" w:eastAsia="en-US"/>
              </w:rPr>
              <w:t>2年</w:t>
            </w:r>
          </w:p>
        </w:tc>
        <w:tc>
          <w:tcPr>
            <w:tcW w:w="6424" w:type="dxa"/>
            <w:tcBorders>
              <w:top w:val="single" w:color="auto" w:sz="4" w:space="0"/>
              <w:left w:val="single" w:color="auto" w:sz="4" w:space="0"/>
              <w:bottom w:val="single" w:color="auto" w:sz="4" w:space="0"/>
              <w:right w:val="single" w:color="auto" w:sz="4" w:space="0"/>
            </w:tcBorders>
            <w:shd w:val="clear" w:color="auto" w:fill="auto"/>
            <w:vAlign w:val="center"/>
          </w:tcPr>
          <w:p w14:paraId="6FEDF344">
            <w:pPr>
              <w:pStyle w:val="15"/>
              <w:keepNext w:val="0"/>
              <w:keepLines w:val="0"/>
              <w:widowControl w:val="0"/>
              <w:shd w:val="clear" w:color="auto" w:fill="auto"/>
              <w:bidi w:val="0"/>
              <w:spacing w:before="0" w:after="0" w:line="240" w:lineRule="auto"/>
              <w:ind w:left="0" w:right="0" w:firstLine="0"/>
              <w:jc w:val="center"/>
              <w:rPr>
                <w:sz w:val="24"/>
                <w:szCs w:val="24"/>
              </w:rPr>
            </w:pPr>
            <w:r>
              <w:rPr>
                <w:rFonts w:hint="eastAsia" w:cs="宋体"/>
                <w:sz w:val="24"/>
                <w:szCs w:val="24"/>
                <w:lang w:val="en-US" w:eastAsia="zh-CN"/>
              </w:rPr>
              <w:t>供应商</w:t>
            </w:r>
            <w:r>
              <w:rPr>
                <w:rFonts w:ascii="宋体" w:hAnsi="宋体" w:eastAsia="宋体" w:cs="宋体"/>
                <w:sz w:val="24"/>
                <w:szCs w:val="24"/>
              </w:rPr>
              <w:t>负责全套制氧设备投资、建设、运营、维保、智慧化管理等</w:t>
            </w:r>
            <w:r>
              <w:rPr>
                <w:rStyle w:val="9"/>
                <w:rFonts w:ascii="宋体" w:hAnsi="宋体" w:eastAsia="宋体" w:cs="宋体"/>
                <w:color w:val="000000"/>
                <w:sz w:val="24"/>
                <w:szCs w:val="24"/>
              </w:rPr>
              <w:t>全包服务</w:t>
            </w:r>
            <w:r>
              <w:rPr>
                <w:rStyle w:val="14"/>
                <w:rFonts w:hint="eastAsia"/>
                <w:b w:val="0"/>
                <w:bCs w:val="0"/>
                <w:i w:val="0"/>
                <w:iCs w:val="0"/>
                <w:smallCaps w:val="0"/>
                <w:strike w:val="0"/>
                <w:sz w:val="24"/>
                <w:szCs w:val="24"/>
                <w:lang w:val="en-US"/>
              </w:rPr>
              <w:t>。</w:t>
            </w:r>
          </w:p>
        </w:tc>
      </w:tr>
    </w:tbl>
    <w:p w14:paraId="57F62C67">
      <w:pPr>
        <w:widowControl w:val="0"/>
        <w:spacing w:after="399" w:line="1" w:lineRule="exact"/>
        <w:rPr>
          <w:sz w:val="36"/>
          <w:szCs w:val="36"/>
        </w:rPr>
      </w:pPr>
    </w:p>
    <w:p w14:paraId="577D91A4">
      <w:pPr>
        <w:pStyle w:val="17"/>
        <w:keepNext w:val="0"/>
        <w:keepLines w:val="0"/>
        <w:widowControl w:val="0"/>
        <w:numPr>
          <w:ilvl w:val="0"/>
          <w:numId w:val="1"/>
        </w:numPr>
        <w:shd w:val="clear" w:color="auto" w:fill="auto"/>
        <w:bidi w:val="0"/>
        <w:spacing w:before="0" w:after="0" w:line="405" w:lineRule="exact"/>
        <w:ind w:left="0" w:right="0" w:firstLine="520"/>
        <w:jc w:val="both"/>
        <w:rPr>
          <w:rStyle w:val="12"/>
          <w:rFonts w:hint="eastAsia" w:ascii="仿宋" w:hAnsi="仿宋" w:eastAsia="仿宋" w:cs="仿宋"/>
          <w:b/>
          <w:bCs/>
          <w:i w:val="0"/>
          <w:iCs w:val="0"/>
          <w:smallCaps w:val="0"/>
          <w:strike w:val="0"/>
          <w:color w:val="000000"/>
          <w:spacing w:val="0"/>
          <w:w w:val="100"/>
          <w:position w:val="0"/>
          <w:sz w:val="28"/>
          <w:szCs w:val="28"/>
          <w:shd w:val="clear" w:color="auto" w:fill="auto"/>
          <w:lang w:val="en-US"/>
        </w:rPr>
      </w:pPr>
      <w:r>
        <w:rPr>
          <w:rStyle w:val="12"/>
          <w:rFonts w:hint="eastAsia" w:ascii="仿宋" w:hAnsi="仿宋" w:eastAsia="仿宋" w:cs="仿宋"/>
          <w:b/>
          <w:bCs/>
          <w:i w:val="0"/>
          <w:iCs w:val="0"/>
          <w:smallCaps w:val="0"/>
          <w:strike w:val="0"/>
          <w:color w:val="000000"/>
          <w:spacing w:val="0"/>
          <w:w w:val="100"/>
          <w:position w:val="0"/>
          <w:sz w:val="28"/>
          <w:szCs w:val="28"/>
          <w:shd w:val="clear" w:color="auto" w:fill="auto"/>
        </w:rPr>
        <w:t>项目</w:t>
      </w:r>
      <w:r>
        <w:rPr>
          <w:rStyle w:val="12"/>
          <w:rFonts w:hint="eastAsia" w:ascii="仿宋" w:hAnsi="仿宋" w:eastAsia="仿宋" w:cs="仿宋"/>
          <w:b/>
          <w:bCs/>
          <w:i w:val="0"/>
          <w:iCs w:val="0"/>
          <w:smallCaps w:val="0"/>
          <w:strike w:val="0"/>
          <w:color w:val="000000"/>
          <w:spacing w:val="0"/>
          <w:w w:val="100"/>
          <w:position w:val="0"/>
          <w:sz w:val="28"/>
          <w:szCs w:val="28"/>
          <w:shd w:val="clear" w:color="auto" w:fill="auto"/>
          <w:lang w:val="en-US"/>
        </w:rPr>
        <w:t>概况</w:t>
      </w:r>
    </w:p>
    <w:p w14:paraId="46145C28">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1.项目名称：珠海市第五人民医院智慧医气运营服务项目</w:t>
      </w:r>
    </w:p>
    <w:p w14:paraId="64360585">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2.项目地点：珠海市第五人民医院平沙院区及南水院区。</w:t>
      </w:r>
    </w:p>
    <w:p w14:paraId="5C05B2AF">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3.用氧现状：医院现阶段年医用氧气使用量为24.9万m³，其中平沙院区16.9万m³，南水院区8万m³，总体用氧稳定、持续增长，南水院区待医养中心投入使用后预计用氧量可提升至12万m³。</w:t>
      </w:r>
    </w:p>
    <w:p w14:paraId="5C5723E0">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4.建设方式：乙方（供应商，下称“乙方”）负责全套制氧设备投资、建设、运营、维保、智慧化管理等全包服务。</w:t>
      </w:r>
    </w:p>
    <w:p w14:paraId="75742972">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60" w:lineRule="atLeast"/>
        <w:ind w:left="0" w:right="0" w:firstLine="520"/>
        <w:jc w:val="left"/>
        <w:textAlignment w:val="auto"/>
        <w:rPr>
          <w:rStyle w:val="16"/>
          <w:rFonts w:hint="default" w:ascii="仿宋" w:hAnsi="仿宋" w:eastAsia="仿宋" w:cs="仿宋"/>
          <w:b w:val="0"/>
          <w:bCs w:val="0"/>
          <w:i w:val="0"/>
          <w:iCs w:val="0"/>
          <w:smallCaps w:val="0"/>
          <w:strike w:val="0"/>
          <w:sz w:val="28"/>
          <w:szCs w:val="28"/>
          <w:lang w:val="en-US"/>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5.服务期2年（24个月），采取1+1考核续签合同模式，</w:t>
      </w:r>
      <w:r>
        <w:rPr>
          <w:rStyle w:val="16"/>
          <w:rFonts w:hint="eastAsia" w:ascii="仿宋" w:hAnsi="仿宋" w:eastAsia="仿宋" w:cs="仿宋"/>
          <w:b w:val="0"/>
          <w:bCs w:val="0"/>
          <w:i w:val="0"/>
          <w:iCs w:val="0"/>
          <w:smallCaps w:val="0"/>
          <w:strike w:val="0"/>
          <w:sz w:val="28"/>
          <w:szCs w:val="28"/>
        </w:rPr>
        <w:t>项目预算：</w:t>
      </w:r>
      <w:r>
        <w:rPr>
          <w:rStyle w:val="16"/>
          <w:rFonts w:hint="eastAsia" w:ascii="仿宋" w:hAnsi="仿宋" w:eastAsia="仿宋" w:cs="仿宋"/>
          <w:b w:val="0"/>
          <w:bCs w:val="0"/>
          <w:i w:val="0"/>
          <w:iCs w:val="0"/>
          <w:smallCaps w:val="0"/>
          <w:strike w:val="0"/>
          <w:sz w:val="28"/>
          <w:szCs w:val="28"/>
          <w:lang w:val="en-US"/>
        </w:rPr>
        <w:t>¥2970000</w:t>
      </w:r>
      <w:r>
        <w:rPr>
          <w:rStyle w:val="16"/>
          <w:rFonts w:hint="eastAsia" w:ascii="仿宋" w:hAnsi="仿宋" w:eastAsia="仿宋" w:cs="仿宋"/>
          <w:b w:val="0"/>
          <w:bCs w:val="0"/>
          <w:i w:val="0"/>
          <w:iCs w:val="0"/>
          <w:smallCaps w:val="0"/>
          <w:strike w:val="0"/>
          <w:sz w:val="28"/>
          <w:szCs w:val="28"/>
        </w:rPr>
        <w:t>元人民币</w:t>
      </w:r>
      <w:r>
        <w:rPr>
          <w:rStyle w:val="16"/>
          <w:rFonts w:hint="eastAsia" w:ascii="仿宋" w:hAnsi="仿宋" w:eastAsia="仿宋" w:cs="仿宋"/>
          <w:b w:val="0"/>
          <w:bCs w:val="0"/>
          <w:i w:val="0"/>
          <w:iCs w:val="0"/>
          <w:smallCaps w:val="0"/>
          <w:strike w:val="0"/>
          <w:sz w:val="28"/>
          <w:szCs w:val="28"/>
          <w:lang w:val="en-US"/>
        </w:rPr>
        <w:t>。</w:t>
      </w:r>
    </w:p>
    <w:p w14:paraId="72E8677B">
      <w:pPr>
        <w:keepNext w:val="0"/>
        <w:keepLines w:val="0"/>
        <w:pageBreakBefore w:val="0"/>
        <w:widowControl w:val="0"/>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6.结算方式：本项目要求采用无固定月租、纯按量计量结算模式，不额外收取设备租赁费、场地费、运维费、维修费、耗材费等一切费用，医院仅按实际消耗氧气立方米单价据实结算。</w:t>
      </w:r>
    </w:p>
    <w:p w14:paraId="249711E4">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560" w:lineRule="atLeast"/>
        <w:ind w:left="0" w:right="0" w:firstLine="520"/>
        <w:jc w:val="both"/>
        <w:textAlignment w:val="auto"/>
        <w:rPr>
          <w:rStyle w:val="12"/>
          <w:rFonts w:hint="eastAsia" w:ascii="仿宋" w:hAnsi="仿宋" w:eastAsia="仿宋" w:cs="仿宋"/>
          <w:b/>
          <w:bCs/>
          <w:i w:val="0"/>
          <w:iCs w:val="0"/>
          <w:smallCaps w:val="0"/>
          <w:strike w:val="0"/>
          <w:color w:val="000000"/>
          <w:spacing w:val="0"/>
          <w:w w:val="100"/>
          <w:position w:val="0"/>
          <w:sz w:val="28"/>
          <w:szCs w:val="28"/>
          <w:shd w:val="clear" w:color="auto" w:fill="auto"/>
          <w:lang w:val="en-US" w:eastAsia="zh-CN"/>
        </w:rPr>
      </w:pPr>
      <w:r>
        <w:rPr>
          <w:rStyle w:val="12"/>
          <w:rFonts w:hint="eastAsia" w:ascii="仿宋" w:hAnsi="仿宋" w:eastAsia="仿宋" w:cs="仿宋"/>
          <w:b/>
          <w:bCs/>
          <w:i w:val="0"/>
          <w:iCs w:val="0"/>
          <w:smallCaps w:val="0"/>
          <w:strike w:val="0"/>
          <w:color w:val="000000"/>
          <w:spacing w:val="0"/>
          <w:w w:val="100"/>
          <w:position w:val="0"/>
          <w:sz w:val="28"/>
          <w:szCs w:val="28"/>
          <w:shd w:val="clear" w:color="auto" w:fill="auto"/>
          <w:lang w:val="en-US" w:eastAsia="zh-CN"/>
        </w:rPr>
        <w:t>三、供应商资质</w:t>
      </w:r>
    </w:p>
    <w:p w14:paraId="1F502B1F">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w:t>
      </w:r>
    </w:p>
    <w:p w14:paraId="27443078">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 xml:space="preserve">2.单位负责人为同一人或者存在直接控股、 管理关系的不同供应商，不得同时参加本采购项目 。 为本项目提供整体设计、规范编制或者项目管理、监理、检测等服务的供应商，不得再参与本项目。 </w:t>
      </w:r>
    </w:p>
    <w:p w14:paraId="4FC86E14">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3.报价文件中提供下述资料复印件加盖供应商公章：①供应商为所投产品的制造商时，应当提供《医疗器械生产许可证》；供应商非所投产品的制造商时，应当提供《医疗器械经营许可证》（适用第三类医疗器械）或者《第二类医疗器械经营备案凭证》（适用第二类医疗器械）；②供应商所投产品须具有有效的《医疗器械注册证》，如国家另有规定，则适用其规定。③供应商为产品的制造商时，自身须具备有效期内《特种设备生产许可证（压力管道安装 GC2 级及以上）》；若供应商非所投产品的制造商时，可不自有压力管道安装资质，但所投设备制造商须具备该资质，并提供厂家资质及专项履约承诺。</w:t>
      </w:r>
    </w:p>
    <w:p w14:paraId="4DC89408">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4.本项目不接受联合体，不允许分包、转包。</w:t>
      </w:r>
    </w:p>
    <w:p w14:paraId="3F3D9287">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560" w:lineRule="atLeast"/>
        <w:ind w:left="0" w:right="0" w:firstLine="520"/>
        <w:jc w:val="both"/>
        <w:textAlignment w:val="auto"/>
        <w:rPr>
          <w:rStyle w:val="12"/>
          <w:rFonts w:hint="eastAsia" w:ascii="仿宋" w:hAnsi="仿宋" w:eastAsia="仿宋" w:cs="仿宋"/>
          <w:b/>
          <w:bCs/>
          <w:i w:val="0"/>
          <w:iCs w:val="0"/>
          <w:smallCaps w:val="0"/>
          <w:strike w:val="0"/>
          <w:color w:val="000000"/>
          <w:spacing w:val="0"/>
          <w:w w:val="100"/>
          <w:position w:val="0"/>
          <w:sz w:val="28"/>
          <w:szCs w:val="28"/>
          <w:shd w:val="clear" w:color="auto" w:fill="auto"/>
          <w:lang w:val="en-US"/>
        </w:rPr>
      </w:pPr>
      <w:bookmarkStart w:id="1" w:name="_GoBack"/>
      <w:bookmarkEnd w:id="1"/>
    </w:p>
    <w:p w14:paraId="0741B4B7">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560" w:lineRule="atLeast"/>
        <w:ind w:left="0" w:right="0" w:firstLine="520"/>
        <w:jc w:val="both"/>
        <w:textAlignment w:val="auto"/>
        <w:rPr>
          <w:rStyle w:val="12"/>
          <w:rFonts w:hint="default" w:ascii="仿宋" w:hAnsi="仿宋" w:eastAsia="仿宋" w:cs="仿宋"/>
          <w:b/>
          <w:bCs/>
          <w:i w:val="0"/>
          <w:iCs w:val="0"/>
          <w:smallCaps w:val="0"/>
          <w:strike w:val="0"/>
          <w:color w:val="000000"/>
          <w:spacing w:val="0"/>
          <w:w w:val="100"/>
          <w:position w:val="0"/>
          <w:sz w:val="28"/>
          <w:szCs w:val="28"/>
          <w:shd w:val="clear" w:color="auto" w:fill="auto"/>
          <w:lang w:val="en-US"/>
        </w:rPr>
      </w:pPr>
      <w:r>
        <w:rPr>
          <w:rStyle w:val="12"/>
          <w:rFonts w:hint="eastAsia" w:ascii="仿宋" w:hAnsi="仿宋" w:eastAsia="仿宋" w:cs="仿宋"/>
          <w:b/>
          <w:bCs/>
          <w:i w:val="0"/>
          <w:iCs w:val="0"/>
          <w:smallCaps w:val="0"/>
          <w:strike w:val="0"/>
          <w:color w:val="000000"/>
          <w:spacing w:val="0"/>
          <w:w w:val="100"/>
          <w:position w:val="0"/>
          <w:sz w:val="28"/>
          <w:szCs w:val="28"/>
          <w:shd w:val="clear" w:color="auto" w:fill="auto"/>
          <w:lang w:val="en-US"/>
        </w:rPr>
        <w:t>三</w:t>
      </w:r>
      <w:r>
        <w:rPr>
          <w:rStyle w:val="12"/>
          <w:rFonts w:hint="eastAsia" w:ascii="仿宋" w:hAnsi="仿宋" w:eastAsia="仿宋" w:cs="仿宋"/>
          <w:b/>
          <w:bCs/>
          <w:i w:val="0"/>
          <w:iCs w:val="0"/>
          <w:smallCaps w:val="0"/>
          <w:strike w:val="0"/>
          <w:color w:val="000000"/>
          <w:spacing w:val="0"/>
          <w:w w:val="100"/>
          <w:position w:val="0"/>
          <w:sz w:val="28"/>
          <w:szCs w:val="28"/>
          <w:shd w:val="clear" w:color="auto" w:fill="auto"/>
        </w:rPr>
        <w:t>、</w:t>
      </w:r>
      <w:r>
        <w:rPr>
          <w:rStyle w:val="12"/>
          <w:rFonts w:hint="eastAsia" w:ascii="仿宋" w:hAnsi="仿宋" w:eastAsia="仿宋" w:cs="仿宋"/>
          <w:b/>
          <w:bCs/>
          <w:i w:val="0"/>
          <w:iCs w:val="0"/>
          <w:smallCaps w:val="0"/>
          <w:strike w:val="0"/>
          <w:color w:val="000000"/>
          <w:spacing w:val="0"/>
          <w:w w:val="100"/>
          <w:position w:val="0"/>
          <w:sz w:val="28"/>
          <w:szCs w:val="28"/>
          <w:shd w:val="clear" w:color="auto" w:fill="auto"/>
          <w:lang w:val="en-US"/>
        </w:rPr>
        <w:t>项目需求</w:t>
      </w:r>
    </w:p>
    <w:p w14:paraId="342F4E12">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（一）设备配置要求</w:t>
      </w:r>
    </w:p>
    <w:p w14:paraId="194E0EC6">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乙方须配置相应数量的医用PSA制氧机，配套无油空压机、冷冻式干燥机、精密过滤器、医用氧气储罐（储气量≥3天最大用氧量）、稳压缓冲系统、氧气浓度在线监测、泄漏报警、防爆排风、防雷防静电、UPS不间断电源、应急备用氧源等。氧浓度90%～96%，符合医用氧气标准，满足现阶段及后期用氧负荷，长期运行负荷稳定，预留扩容余量。</w:t>
      </w:r>
    </w:p>
    <w:p w14:paraId="4C7293AF">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（二）机房建设要求</w:t>
      </w:r>
    </w:p>
    <w:p w14:paraId="24E3CFE1">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1.机房结构：乙方负责对甲方楼顶进行现场勘测，委托具备资质的机构出具《屋面结构承重复核报告》，确保设备布置、吊装、运行符合建筑安全要求；如需进行屋面加固，加固设计及施工由乙方负责，费用包含在租赁费用内；支持永久性砖混/钢筋混凝土结构；如过渡期采用临时建筑，必须采用A级岩棉防火材质，严禁可燃夹芯板，后期可无偿更换为永久机房。</w:t>
      </w:r>
    </w:p>
    <w:p w14:paraId="66DCDB9A">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2.合规要求：制氧站属于特殊建设工程，乙方须全权办理消防设计审查、消防验收、压力容器使用登记、卫健验收、防雷检测等全部合规手续，所有费用由乙方承担。</w:t>
      </w:r>
    </w:p>
    <w:p w14:paraId="5F07F9B7">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3.安全标准：乙类防爆设计、防爆电气、强制通风（换气次数≥12次/h）、防静电接地、氧气泄漏报警、超压泄压、应急切断。</w:t>
      </w:r>
    </w:p>
    <w:p w14:paraId="6C36CB92">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（三）服务模式要求</w:t>
      </w:r>
    </w:p>
    <w:p w14:paraId="58B63DF4">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1.合作模式</w:t>
      </w:r>
    </w:p>
    <w:p w14:paraId="52DE3F66">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乙方全额投资、全额运维、全额承担合规费用、承担设备折旧、故障维修、耗材更换、年检检测、设备生产电费、配电房到制氧机房所需电源投资等；甲方免费提供场地。</w:t>
      </w:r>
    </w:p>
    <w:p w14:paraId="40069D5A">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2.计费结算方式</w:t>
      </w:r>
    </w:p>
    <w:p w14:paraId="136AE6E9">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2.1无固定月租、无保底用量、无设备使用费。</w:t>
      </w:r>
    </w:p>
    <w:p w14:paraId="660128C0">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2.2结算依据：以管道智能流量计实时采集数据为准，流量计具备远程上传、存储、防篡改功能，双方每月共同抄表确认。</w:t>
      </w:r>
    </w:p>
    <w:p w14:paraId="3437F509">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2.3计价方式：按甲方实际使用氧气量m³×氧气单价（元/m³）进行结算（含税、含运维、含耗材、含设备折旧）。</w:t>
      </w:r>
    </w:p>
    <w:p w14:paraId="2AC90D02">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2.4结算周期：按月结算，乙方开具正规增值税专用发票，甲方核对无误后按月支付。</w:t>
      </w:r>
    </w:p>
    <w:p w14:paraId="05B6E4B1">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（四）质量与供氧保障要求</w:t>
      </w:r>
    </w:p>
    <w:p w14:paraId="41EC6FF8">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1.氧气质量标准</w:t>
      </w:r>
    </w:p>
    <w:p w14:paraId="15E20077">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氧气浓度稳定90%～96%，符合《医用气体工程技术规范》GB50751-2012、《氧气站设计规范》GB50030-2013，满足临床手术、ICU、普通病房全部使用要求，提供年度第三方检测报告。</w:t>
      </w:r>
    </w:p>
    <w:p w14:paraId="30973426">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2.不间断供氧保障</w:t>
      </w:r>
    </w:p>
    <w:p w14:paraId="76D7355D">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2.1一用一备冗余配置，任意一台故障自动切换；</w:t>
      </w:r>
    </w:p>
    <w:p w14:paraId="72BE5E2A">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2.2配置大容量氧气储罐缓冲稳压；</w:t>
      </w:r>
    </w:p>
    <w:p w14:paraId="3C91A983">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2.3设置应急备用氧源，故障期间不间断供氧；</w:t>
      </w:r>
    </w:p>
    <w:p w14:paraId="114420AB">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2.4乙方24小时应急值守，发生故障2小时到场维修。</w:t>
      </w:r>
    </w:p>
    <w:p w14:paraId="503D5CB6">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（五）报价要求</w:t>
      </w:r>
    </w:p>
    <w:p w14:paraId="1BD8DD87">
      <w:pPr>
        <w:keepNext w:val="0"/>
        <w:keepLines w:val="0"/>
        <w:pageBreakBefore w:val="0"/>
        <w:widowControl w:val="0"/>
        <w:shd w:val="clear" w:color="auto" w:fill="auto"/>
        <w:kinsoku/>
        <w:wordWrap/>
        <w:overflowPunct/>
        <w:topLinePunct w:val="0"/>
        <w:autoSpaceDE/>
        <w:autoSpaceDN/>
        <w:bidi w:val="0"/>
        <w:adjustRightInd/>
        <w:snapToGrid/>
        <w:spacing w:before="120" w:after="120" w:line="560" w:lineRule="atLeast"/>
        <w:ind w:left="0" w:firstLine="500" w:firstLineChars="0"/>
        <w:jc w:val="left"/>
        <w:textAlignment w:val="auto"/>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pPr>
      <w:r>
        <w:rPr>
          <w:rStyle w:val="16"/>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eastAsia="zh-CN"/>
        </w:rPr>
        <w:t>乙方须单独报出：医用氧气综合单价（元/m³），包含设备租赁、运维、耗材、年检、折旧、服务费等所有费用，不得另行加收其他费用。</w:t>
      </w:r>
    </w:p>
    <w:p w14:paraId="3A63D83B">
      <w:pPr>
        <w:pStyle w:val="2"/>
      </w:pPr>
    </w:p>
    <w:sectPr>
      <w:footnotePr>
        <w:numFmt w:val="decimal"/>
      </w:footnotePr>
      <w:pgSz w:w="11909" w:h="16842"/>
      <w:pgMar w:top="1347" w:right="846" w:bottom="1066" w:left="1117" w:header="919" w:footer="638" w:gutter="0"/>
      <w:pgNumType w:start="1"/>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p>
  </w:footnote>
  <w:footnote w:type="continuationSeparator" w:id="1">
    <w:p>
      <w:pPr>
        <w:spacing w:before="0"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2D62FC"/>
    <w:multiLevelType w:val="singleLevel"/>
    <w:tmpl w:val="2C2D62F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rawingGridHorizontalSpacing w:val="181"/>
  <w:drawingGridVerticalSpacing w:val="181"/>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
  <w:rsids>
    <w:rsidRoot w:val="00000000"/>
    <w:rsid w:val="026F26AC"/>
    <w:rsid w:val="02BA2353"/>
    <w:rsid w:val="03020A00"/>
    <w:rsid w:val="0AF73790"/>
    <w:rsid w:val="0E37259A"/>
    <w:rsid w:val="1ED21C8B"/>
    <w:rsid w:val="205228AB"/>
    <w:rsid w:val="214B71C2"/>
    <w:rsid w:val="21F257A5"/>
    <w:rsid w:val="2A2C2F4E"/>
    <w:rsid w:val="2A5F13EB"/>
    <w:rsid w:val="2B4D53D2"/>
    <w:rsid w:val="2F407406"/>
    <w:rsid w:val="313930CC"/>
    <w:rsid w:val="37AB6BE0"/>
    <w:rsid w:val="394A79A3"/>
    <w:rsid w:val="3CD329EE"/>
    <w:rsid w:val="3D2A4F53"/>
    <w:rsid w:val="3EB02CBF"/>
    <w:rsid w:val="4A9D0B30"/>
    <w:rsid w:val="4B1D2688"/>
    <w:rsid w:val="4ED85BEA"/>
    <w:rsid w:val="4EF70956"/>
    <w:rsid w:val="5178540B"/>
    <w:rsid w:val="57BB7165"/>
    <w:rsid w:val="594E3633"/>
    <w:rsid w:val="5BA313AE"/>
    <w:rsid w:val="5BE01A3D"/>
    <w:rsid w:val="5D485896"/>
    <w:rsid w:val="5D8D36EA"/>
    <w:rsid w:val="60442134"/>
    <w:rsid w:val="608C23DE"/>
    <w:rsid w:val="669C39FA"/>
    <w:rsid w:val="6E241AAD"/>
    <w:rsid w:val="6E9E1AAA"/>
    <w:rsid w:val="755E580C"/>
    <w:rsid w:val="77382DB1"/>
    <w:rsid w:val="79C472D3"/>
    <w:rsid w:val="7DBA4202"/>
    <w:rsid w:val="7F8421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qForma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line="360" w:lineRule="auto"/>
      <w:ind w:firstLine="420"/>
    </w:pPr>
    <w:rPr>
      <w:rFonts w:ascii="Times New Roman" w:hAnsi="Times New Roman" w:cs="Times New Roman"/>
      <w:szCs w:val="21"/>
    </w:rPr>
  </w:style>
  <w:style w:type="paragraph" w:styleId="3">
    <w:name w:val="Body Text"/>
    <w:basedOn w:val="1"/>
    <w:qFormat/>
    <w:uiPriority w:val="0"/>
    <w:pPr>
      <w:spacing w:line="360" w:lineRule="auto"/>
    </w:pPr>
    <w:rPr>
      <w:szCs w:val="20"/>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customStyle="1" w:styleId="10">
    <w:name w:val="Char Style 3"/>
    <w:basedOn w:val="8"/>
    <w:link w:val="11"/>
    <w:qFormat/>
    <w:uiPriority w:val="0"/>
    <w:rPr>
      <w:rFonts w:ascii="黑体" w:hAnsi="黑体" w:eastAsia="黑体" w:cs="黑体"/>
      <w:sz w:val="28"/>
      <w:szCs w:val="28"/>
      <w:u w:val="none"/>
      <w:lang w:val="zh-CN" w:eastAsia="zh-CN" w:bidi="zh-CN"/>
    </w:rPr>
  </w:style>
  <w:style w:type="paragraph" w:customStyle="1" w:styleId="11">
    <w:name w:val="Style 2"/>
    <w:basedOn w:val="1"/>
    <w:link w:val="10"/>
    <w:qFormat/>
    <w:uiPriority w:val="0"/>
    <w:pPr>
      <w:widowControl w:val="0"/>
      <w:shd w:val="clear" w:color="auto" w:fill="auto"/>
      <w:spacing w:before="380" w:after="680"/>
      <w:jc w:val="center"/>
      <w:outlineLvl w:val="0"/>
    </w:pPr>
    <w:rPr>
      <w:rFonts w:ascii="黑体" w:hAnsi="黑体" w:eastAsia="黑体" w:cs="黑体"/>
      <w:sz w:val="28"/>
      <w:szCs w:val="28"/>
      <w:u w:val="none"/>
      <w:lang w:val="zh-CN" w:eastAsia="zh-CN" w:bidi="zh-CN"/>
    </w:rPr>
  </w:style>
  <w:style w:type="character" w:customStyle="1" w:styleId="12">
    <w:name w:val="Char Style 5"/>
    <w:basedOn w:val="8"/>
    <w:link w:val="13"/>
    <w:qFormat/>
    <w:uiPriority w:val="0"/>
    <w:rPr>
      <w:rFonts w:ascii="黑体" w:hAnsi="黑体" w:eastAsia="黑体" w:cs="黑体"/>
      <w:sz w:val="20"/>
      <w:szCs w:val="20"/>
      <w:u w:val="none"/>
      <w:lang w:val="zh-CN" w:eastAsia="zh-CN" w:bidi="zh-CN"/>
    </w:rPr>
  </w:style>
  <w:style w:type="paragraph" w:customStyle="1" w:styleId="13">
    <w:name w:val="Style 4"/>
    <w:basedOn w:val="1"/>
    <w:link w:val="12"/>
    <w:qFormat/>
    <w:uiPriority w:val="0"/>
    <w:pPr>
      <w:widowControl w:val="0"/>
      <w:shd w:val="clear" w:color="auto" w:fill="auto"/>
    </w:pPr>
    <w:rPr>
      <w:rFonts w:ascii="黑体" w:hAnsi="黑体" w:eastAsia="黑体" w:cs="黑体"/>
      <w:sz w:val="20"/>
      <w:szCs w:val="20"/>
      <w:u w:val="none"/>
      <w:lang w:val="zh-CN" w:eastAsia="zh-CN" w:bidi="zh-CN"/>
    </w:rPr>
  </w:style>
  <w:style w:type="character" w:customStyle="1" w:styleId="14">
    <w:name w:val="Char Style 7"/>
    <w:basedOn w:val="8"/>
    <w:link w:val="15"/>
    <w:qFormat/>
    <w:uiPriority w:val="0"/>
    <w:rPr>
      <w:rFonts w:ascii="宋体" w:hAnsi="宋体" w:eastAsia="宋体" w:cs="宋体"/>
      <w:sz w:val="20"/>
      <w:szCs w:val="20"/>
      <w:u w:val="none"/>
      <w:lang w:val="zh-CN" w:eastAsia="zh-CN" w:bidi="zh-CN"/>
    </w:rPr>
  </w:style>
  <w:style w:type="paragraph" w:customStyle="1" w:styleId="15">
    <w:name w:val="Style 6"/>
    <w:basedOn w:val="1"/>
    <w:link w:val="14"/>
    <w:qFormat/>
    <w:uiPriority w:val="0"/>
    <w:pPr>
      <w:widowControl w:val="0"/>
      <w:shd w:val="clear" w:color="auto" w:fill="auto"/>
      <w:spacing w:line="415" w:lineRule="auto"/>
      <w:ind w:firstLine="20"/>
    </w:pPr>
    <w:rPr>
      <w:rFonts w:ascii="宋体" w:hAnsi="宋体" w:eastAsia="宋体" w:cs="宋体"/>
      <w:sz w:val="20"/>
      <w:szCs w:val="20"/>
      <w:u w:val="none"/>
      <w:lang w:val="zh-CN" w:eastAsia="zh-CN" w:bidi="zh-CN"/>
    </w:rPr>
  </w:style>
  <w:style w:type="character" w:customStyle="1" w:styleId="16">
    <w:name w:val="Char Style 11"/>
    <w:basedOn w:val="8"/>
    <w:link w:val="17"/>
    <w:qFormat/>
    <w:uiPriority w:val="0"/>
    <w:rPr>
      <w:rFonts w:ascii="黑体" w:hAnsi="黑体" w:eastAsia="黑体" w:cs="黑体"/>
      <w:sz w:val="20"/>
      <w:szCs w:val="20"/>
      <w:u w:val="none"/>
      <w:lang w:val="zh-CN" w:eastAsia="zh-CN" w:bidi="zh-CN"/>
    </w:rPr>
  </w:style>
  <w:style w:type="paragraph" w:customStyle="1" w:styleId="17">
    <w:name w:val="Style 10"/>
    <w:basedOn w:val="1"/>
    <w:link w:val="16"/>
    <w:qFormat/>
    <w:uiPriority w:val="0"/>
    <w:pPr>
      <w:widowControl w:val="0"/>
      <w:shd w:val="clear" w:color="auto" w:fill="auto"/>
      <w:spacing w:after="230" w:line="409" w:lineRule="exact"/>
      <w:ind w:firstLine="430"/>
    </w:pPr>
    <w:rPr>
      <w:rFonts w:ascii="黑体" w:hAnsi="黑体" w:eastAsia="黑体" w:cs="黑体"/>
      <w:sz w:val="20"/>
      <w:szCs w:val="20"/>
      <w:u w:val="none"/>
      <w:lang w:val="zh-CN" w:eastAsia="zh-CN" w:bidi="zh-CN"/>
    </w:rPr>
  </w:style>
  <w:style w:type="character" w:customStyle="1" w:styleId="18">
    <w:name w:val="Char Style 14"/>
    <w:basedOn w:val="8"/>
    <w:link w:val="19"/>
    <w:qFormat/>
    <w:uiPriority w:val="0"/>
    <w:rPr>
      <w:rFonts w:ascii="宋体" w:hAnsi="宋体" w:eastAsia="宋体" w:cs="宋体"/>
      <w:sz w:val="20"/>
      <w:szCs w:val="20"/>
      <w:u w:val="none"/>
      <w:lang w:val="zh-CN" w:eastAsia="zh-CN" w:bidi="zh-CN"/>
    </w:rPr>
  </w:style>
  <w:style w:type="paragraph" w:customStyle="1" w:styleId="19">
    <w:name w:val="Style 13"/>
    <w:basedOn w:val="1"/>
    <w:link w:val="18"/>
    <w:qFormat/>
    <w:uiPriority w:val="0"/>
    <w:pPr>
      <w:widowControl w:val="0"/>
      <w:shd w:val="clear" w:color="auto" w:fill="auto"/>
      <w:spacing w:line="415" w:lineRule="auto"/>
      <w:ind w:firstLine="20"/>
    </w:pPr>
    <w:rPr>
      <w:rFonts w:ascii="宋体" w:hAnsi="宋体" w:eastAsia="宋体" w:cs="宋体"/>
      <w:sz w:val="20"/>
      <w:szCs w:val="20"/>
      <w:u w:val="none"/>
      <w:lang w:val="zh-CN" w:eastAsia="zh-CN" w:bidi="zh-CN"/>
    </w:rPr>
  </w:style>
  <w:style w:type="character" w:customStyle="1" w:styleId="20">
    <w:name w:val="Char Style 19"/>
    <w:basedOn w:val="8"/>
    <w:link w:val="21"/>
    <w:qFormat/>
    <w:uiPriority w:val="0"/>
    <w:rPr>
      <w:sz w:val="22"/>
      <w:szCs w:val="22"/>
      <w:u w:val="none"/>
    </w:rPr>
  </w:style>
  <w:style w:type="paragraph" w:customStyle="1" w:styleId="21">
    <w:name w:val="Style 18"/>
    <w:basedOn w:val="1"/>
    <w:link w:val="20"/>
    <w:qFormat/>
    <w:uiPriority w:val="0"/>
    <w:pPr>
      <w:widowControl w:val="0"/>
      <w:shd w:val="clear" w:color="auto" w:fill="auto"/>
      <w:spacing w:line="382" w:lineRule="auto"/>
      <w:ind w:firstLine="740"/>
    </w:pPr>
    <w:rPr>
      <w:sz w:val="22"/>
      <w:szCs w:val="22"/>
      <w:u w:val="none"/>
    </w:rPr>
  </w:style>
  <w:style w:type="paragraph" w:customStyle="1" w:styleId="22">
    <w:name w:val="_Style 13"/>
    <w:qFormat/>
    <w:uiPriority w:val="0"/>
    <w:pPr>
      <w:spacing w:before="120" w:after="120" w:line="288" w:lineRule="auto"/>
      <w:ind w:left="0"/>
      <w:jc w:val="left"/>
    </w:pPr>
    <w:rPr>
      <w:rFonts w:ascii="Arial" w:hAnsi="Arial" w:eastAsia="等线" w:cs="Arial"/>
      <w:sz w:val="22"/>
      <w:szCs w:val="22"/>
    </w:rPr>
  </w:style>
  <w:style w:type="character" w:customStyle="1" w:styleId="23">
    <w:name w:val="form-textarea-print1"/>
    <w:basedOn w:val="8"/>
    <w:qFormat/>
    <w:uiPriority w:val="0"/>
    <w:rPr>
      <w:sz w:val="18"/>
      <w:szCs w:val="18"/>
    </w:rPr>
  </w:style>
  <w:style w:type="paragraph" w:customStyle="1" w:styleId="2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1759</Words>
  <Characters>1896</Characters>
  <TotalTime>11</TotalTime>
  <ScaleCrop>false</ScaleCrop>
  <LinksUpToDate>false</LinksUpToDate>
  <CharactersWithSpaces>1900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2026-03-05T06:47:00Z</dcterms:created>
  <dc:creator>CamScanner</dc:creator>
  <cp:lastModifiedBy>WPS_510121617</cp:lastModifiedBy>
  <dcterms:modified xsi:type="dcterms:W3CDTF">2026-07-15T01:39:15Z</dcterms:modified>
  <dc:title>南水院区配餐服务项目需求书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eyJoZGlkIjoiYmYyYzJlNzEyMTliOGJlODNhMmZjNjk2Y2NjNjUxN2UiLCJ1c2VySWQiOiI1MTAxMjE2MTcifQ==</vt:lpwstr>
  </property>
  <property fmtid="{D5CDD505-2E9C-101B-9397-08002B2CF9AE}" pid="3" name="KSOProductBuildVer">
    <vt:lpwstr>2052-12.1.0.26895</vt:lpwstr>
  </property>
  <property fmtid="{D5CDD505-2E9C-101B-9397-08002B2CF9AE}" pid="4" name="ICV">
    <vt:lpwstr>0939DB56FFD9428690C7458E14D1E782_13</vt:lpwstr>
  </property>
</Properties>
</file>