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B81E8">
      <w:pPr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珠海市第五人民医院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  <w:t>第三方临床支持中心与陪护社会化服务项目需求</w:t>
      </w:r>
    </w:p>
    <w:p w14:paraId="71F9E57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一、服务内容</w:t>
      </w:r>
    </w:p>
    <w:p w14:paraId="62E1848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包括平沙院区和南水院区的陪护服务和临床支持中心服务（含护工及输送服务），以及服务需覆盖所有需要的病房/科室，并提供白班、夜班、24小时全天候服务。服务人员需具备相应的专业技能、工作经验和良好的服务态度。具体内容包括病人生活照料、情绪疏导、协助护理工作等，同时需制定明确的服务规范、管理规定人员培训和服务质量监控等。</w:t>
      </w:r>
    </w:p>
    <w:p w14:paraId="207843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二、临床支持中心服务</w:t>
      </w:r>
    </w:p>
    <w:p w14:paraId="701AEE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护工服务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内容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具体内容如下：</w:t>
      </w:r>
    </w:p>
    <w:p w14:paraId="167498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输送调度服务</w:t>
      </w:r>
    </w:p>
    <w:p w14:paraId="3525C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全天24小时受理任务。</w:t>
      </w:r>
    </w:p>
    <w:p w14:paraId="34F512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受理顾客的查询和投诉。</w:t>
      </w:r>
    </w:p>
    <w:p w14:paraId="78CFB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工作任务的电脑输入、确认、修改。</w:t>
      </w:r>
    </w:p>
    <w:p w14:paraId="290D7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输送数据的收集、整理，每月为医院提供资料，作为各临床科室成本核算的依据。</w:t>
      </w:r>
    </w:p>
    <w:p w14:paraId="74243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37D00E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院内接送行动不便的患者出、入院。</w:t>
      </w:r>
    </w:p>
    <w:p w14:paraId="52A8AB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接送住院患者检查、治疗、会诊、转科等。</w:t>
      </w:r>
    </w:p>
    <w:p w14:paraId="4AD65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接送手术患者。</w:t>
      </w:r>
    </w:p>
    <w:p w14:paraId="7DE36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769E4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各类标本的定时巡查及收送。</w:t>
      </w:r>
    </w:p>
    <w:p w14:paraId="28AA5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急查标本如血常规、生化、血气分析、配血、脑积液等收送。</w:t>
      </w:r>
    </w:p>
    <w:p w14:paraId="04EDEA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取送检验科各类试管、检验报告。</w:t>
      </w:r>
    </w:p>
    <w:p w14:paraId="4CBC02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送各类申请单到相关部门预约。</w:t>
      </w:r>
    </w:p>
    <w:p w14:paraId="154F1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各类会诊单、检查报告及需预约的检查申请单等文书的收送。</w:t>
      </w:r>
    </w:p>
    <w:p w14:paraId="772AA3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其它医疗文书的输送。</w:t>
      </w:r>
    </w:p>
    <w:p w14:paraId="64DF0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1DD19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所有口服药、针剂、处方药等药物的输送。</w:t>
      </w:r>
    </w:p>
    <w:p w14:paraId="00B29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中成药、中药（汤）的输送。</w:t>
      </w:r>
    </w:p>
    <w:p w14:paraId="67413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各类补液、外用药、消毒液的输送。</w:t>
      </w:r>
    </w:p>
    <w:p w14:paraId="133F1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急药物的输送。</w:t>
      </w:r>
    </w:p>
    <w:p w14:paraId="70098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病区所退药物的输送。</w:t>
      </w:r>
    </w:p>
    <w:p w14:paraId="28464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5155E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信息设备部、总务部的设备、耗材等物品输送。</w:t>
      </w:r>
    </w:p>
    <w:p w14:paraId="0CBCA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零散医疗用品及杂物收送。</w:t>
      </w:r>
    </w:p>
    <w:p w14:paraId="0AA394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轻型（或小量）物品搬运及执行机关处室交待勤杂、公差任务。</w:t>
      </w:r>
    </w:p>
    <w:p w14:paraId="3E463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医用气体的输送。</w:t>
      </w:r>
    </w:p>
    <w:p w14:paraId="1F38A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0000FF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参与医院各类应急救援输送服务</w:t>
      </w:r>
    </w:p>
    <w:p w14:paraId="7EC4A0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如医院遇到紧急情况（例如:台风、洪涝等自然灾害），要随时接受医院的调派，不计报酬积极参与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。</w:t>
      </w:r>
    </w:p>
    <w:p w14:paraId="7FFE9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主动配合医院的各项精神文明建设，符合医院创文、爱卫的要求。</w:t>
      </w:r>
    </w:p>
    <w:p w14:paraId="7BD8475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临床支持中心运输服务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  <w:t>工作要求</w:t>
      </w:r>
    </w:p>
    <w:p w14:paraId="7C30C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559B85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遵守患者检查流程，根据医护人员的要求，准备与使用相应的输送工具如轮椅、车床。</w:t>
      </w:r>
    </w:p>
    <w:p w14:paraId="3523B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预约检查的患者严格按照预约时间带检，原则上只允许提前30分钟带患者，临时更改检查时间需由技诊部门与临床科室协商后，由技诊部门通知病区护士及输送员，输送员无权自作主张，擅自更改预约检查时间。</w:t>
      </w:r>
    </w:p>
    <w:p w14:paraId="68879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患者因特殊情况延迟接送，如果不超过10分钟，输送员应等候患者。</w:t>
      </w:r>
    </w:p>
    <w:p w14:paraId="1DB9E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患者拒绝或因其它原因不能完成检查，须告知医务人员。</w:t>
      </w:r>
    </w:p>
    <w:p w14:paraId="47C64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按申请单或检查指引单核对好患者床号、姓名、检查项目，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按要求在《病人外出检查登记表》登记并由护士确认签名。</w:t>
      </w:r>
    </w:p>
    <w:p w14:paraId="460B3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认真填写外出检查告知单，按规定做好交代工作。</w:t>
      </w:r>
    </w:p>
    <w:p w14:paraId="00B23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接送患者注意安全、舒适、保暖，运送过程中与患者主动沟通，关心患者。</w:t>
      </w:r>
    </w:p>
    <w:p w14:paraId="7F2CC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发现病情有变或主诉不适，立即就近请求医护人员协助；通知所在病房。</w:t>
      </w:r>
    </w:p>
    <w:p w14:paraId="48FF6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接送患者附带有X片、CT片、MR片、药品等时，输送人员均须与当值人员当面交接。</w:t>
      </w:r>
    </w:p>
    <w:p w14:paraId="120161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不能把病历交给患者或家属，如果患者或家属要求翻看病历或询问病情，输送员应指引患者向主管医生询问。</w:t>
      </w:r>
    </w:p>
    <w:p w14:paraId="4CC0C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推车床上、下斜坡时，患者头部处在高一端位置；患者肢体不得超出车床平面边缘；输液患者在使用车床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或轮椅时配备输液架；带有管道或骨折的患者过床均须有医护人员指导及协助。</w:t>
      </w:r>
    </w:p>
    <w:p w14:paraId="00C28A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到达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医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技部门时，与患者及家属、医护人员做好交接。</w:t>
      </w:r>
    </w:p>
    <w:p w14:paraId="12CBBF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医护人员对患者的病情进行评估，并确定是否需要医务人员陪同。</w:t>
      </w:r>
    </w:p>
    <w:p w14:paraId="20DAD2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接送患者时，车床上要铺好被单并备有被子。</w:t>
      </w:r>
    </w:p>
    <w:p w14:paraId="1BA78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用专用工具并按规定的路线输送高危、传染患者，工具使用后须进行消毒。</w:t>
      </w:r>
    </w:p>
    <w:p w14:paraId="27B77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手术患者的输送：</w:t>
      </w:r>
    </w:p>
    <w:p w14:paraId="1F4F8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严格根据手术室的安排，10分钟内出发接送手术患者。</w:t>
      </w:r>
    </w:p>
    <w:p w14:paraId="189AE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2）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队员到病房后告知护士，在《手术患者接送登记表》上记录。</w:t>
      </w:r>
    </w:p>
    <w:p w14:paraId="2FFE97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3）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如果患者的手术时间更改，队员要立即通知手术室，并在《患者接送登记表》上注明原因。</w:t>
      </w:r>
    </w:p>
    <w:p w14:paraId="1C72A4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4）因故暂停手术的患者要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即时送回原病房并报告当班护士。</w:t>
      </w:r>
    </w:p>
    <w:p w14:paraId="0A789D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5）送完手术后，及时将车床、棉被、输液架等及时送回手术室。</w:t>
      </w:r>
    </w:p>
    <w:p w14:paraId="0FA6FB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3CF13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严禁输送员工将任何有关患者的文书资料自行交予患者或家属。</w:t>
      </w:r>
    </w:p>
    <w:p w14:paraId="54252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文本行圈线路，一小时一趟。</w:t>
      </w:r>
    </w:p>
    <w:p w14:paraId="1AD45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严格按照医疗文书、标本运送线路及时间约定行圈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，并每趟签到。</w:t>
      </w:r>
    </w:p>
    <w:p w14:paraId="5E95E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实施急标本急送，急标本10分钟内到达病房收取， 20分钟内送到相关检验部门。</w:t>
      </w:r>
    </w:p>
    <w:p w14:paraId="5A275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送检验中心的标本（除大小便标本外）均要在检验科扫描，确认送达。</w:t>
      </w:r>
    </w:p>
    <w:p w14:paraId="27BF8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病理标本送达时要登记签收。</w:t>
      </w:r>
    </w:p>
    <w:p w14:paraId="2024E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检查及检验报告送回病房，需登记后由病区接收者在《登记本》上签收。</w:t>
      </w:r>
    </w:p>
    <w:p w14:paraId="49DE4B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医疗文书、药品及贵重物品，病区及时签收。</w:t>
      </w:r>
    </w:p>
    <w:p w14:paraId="57159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出现问题应及时上报病区护长和主管部门，不得擅自处理。特殊标本（如病理）送到后须有接受检验标本的科室签收，落实签收制度。</w:t>
      </w:r>
    </w:p>
    <w:p w14:paraId="26273A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标本收集规范，分类放置。</w:t>
      </w:r>
    </w:p>
    <w:p w14:paraId="7FCC957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严格执行急与非急标本分类收集，按医院要求在检验科逐支扫描，确认送达。</w:t>
      </w:r>
    </w:p>
    <w:p w14:paraId="54692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5CFC8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严格按照药物运送线路及时间约定行圈。</w:t>
      </w:r>
    </w:p>
    <w:p w14:paraId="39967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药物采取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药物转运专用箱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运送，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口予密封，实施整体、封闭式交接。</w:t>
      </w:r>
    </w:p>
    <w:p w14:paraId="7A727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抢救急用药和贵重药严格执行签收制度及履行口头告知提醒义务。</w:t>
      </w:r>
    </w:p>
    <w:p w14:paraId="2C83C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病区及时做好药物的签收，并在1小时内清点药物数目，如有异议及时与药房沟通。</w:t>
      </w:r>
    </w:p>
    <w:p w14:paraId="1EAAF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病区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退药实行“包裹”式的整体性、密封性交接。</w:t>
      </w:r>
    </w:p>
    <w:p w14:paraId="20019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如发现所送药品有异常如药物破碎等情况，立即报告组长或主管及相关科室。</w:t>
      </w:r>
    </w:p>
    <w:p w14:paraId="2C992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输送员负责和确保运送途中药品的安全，不碰撞、挤压、摔落药物。</w:t>
      </w:r>
    </w:p>
    <w:p w14:paraId="0DF668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药品在输送途中，始终在输送员的视线范围内。</w:t>
      </w:r>
    </w:p>
    <w:p w14:paraId="11628C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实施急药急送，紧急药物在药房发出后10分钟内送到病区。</w:t>
      </w:r>
    </w:p>
    <w:p w14:paraId="4A30D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yellow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每班下班要彻底检查药物输送完成情况，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并做好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记录。</w:t>
      </w:r>
    </w:p>
    <w:p w14:paraId="2DD44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6F3D8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设备科物品专人专送，严格执行签收制度。</w:t>
      </w:r>
    </w:p>
    <w:p w14:paraId="6BFA1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物品搬运时须注意安全，轻拿轻放，防止损坏。</w:t>
      </w:r>
    </w:p>
    <w:p w14:paraId="77A49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医用气体输送须禁火、禁油，气瓶切勿碰撞、暴晒。</w:t>
      </w:r>
    </w:p>
    <w:p w14:paraId="7C55F23A">
      <w:pPr>
        <w:pStyle w:val="2"/>
        <w:rPr>
          <w:rFonts w:hint="eastAsia" w:ascii="方正仿宋_GBK" w:hAnsi="方正仿宋_GBK" w:eastAsia="方正仿宋_GBK" w:cs="方正仿宋_GBK"/>
          <w:sz w:val="31"/>
          <w:szCs w:val="31"/>
        </w:rPr>
      </w:pPr>
    </w:p>
    <w:p w14:paraId="118E9858">
      <w:pPr>
        <w:rPr>
          <w:rFonts w:hint="eastAsia" w:ascii="方正仿宋_GBK" w:hAnsi="方正仿宋_GBK" w:eastAsia="方正仿宋_GBK" w:cs="方正仿宋_GBK"/>
          <w:sz w:val="31"/>
          <w:szCs w:val="31"/>
        </w:rPr>
      </w:pPr>
    </w:p>
    <w:p w14:paraId="5C9E06EC">
      <w:pPr>
        <w:pStyle w:val="2"/>
        <w:rPr>
          <w:rFonts w:hint="eastAsia"/>
          <w:lang w:eastAsia="zh-CN"/>
        </w:rPr>
      </w:pPr>
    </w:p>
    <w:p w14:paraId="4CA4958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）临床支持中心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定编及分布</w:t>
      </w:r>
    </w:p>
    <w:tbl>
      <w:tblPr>
        <w:tblStyle w:val="4"/>
        <w:tblW w:w="97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687"/>
        <w:gridCol w:w="687"/>
        <w:gridCol w:w="2036"/>
        <w:gridCol w:w="688"/>
        <w:gridCol w:w="1931"/>
        <w:gridCol w:w="3061"/>
      </w:tblGrid>
      <w:tr w14:paraId="08569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50C7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  <w:t>服务类型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454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  <w:t>院区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3F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序号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7E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岗位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FCD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人数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B7EB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工作时间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B769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  <w:t>职责</w:t>
            </w:r>
          </w:p>
        </w:tc>
      </w:tr>
      <w:tr w14:paraId="0A184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B0D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  <w:t>护工服务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0A1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eastAsia="zh-CN" w:bidi="ar"/>
              </w:rPr>
              <w:t>南水院区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A86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bidi="ar"/>
              </w:rPr>
              <w:t>1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39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神经康复科       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E4B6F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1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07:30-12:30 13:30-16:30 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AA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运送标本、病人检查、转运病人、运送各类物资。</w:t>
            </w:r>
          </w:p>
        </w:tc>
      </w:tr>
      <w:tr w14:paraId="7D120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E3D4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71C5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平沙院区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802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2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1D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39BA4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8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7:30-12:00</w:t>
            </w:r>
          </w:p>
          <w:p w14:paraId="7D61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14:00-19:30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A191D7">
            <w:pPr>
              <w:jc w:val="left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协助晨间护理，基础护理、转床，铺床，协助病人检查。</w:t>
            </w:r>
          </w:p>
        </w:tc>
      </w:tr>
      <w:tr w14:paraId="3AD72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4888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827E9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F36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3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225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内三区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DCD54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28B33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D13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协助晨间护理，转床，铺床，协助病人检查，运送急查标本，整理被服室、轮椅，发放病号服，接送血透患者。</w:t>
            </w:r>
          </w:p>
        </w:tc>
      </w:tr>
      <w:tr w14:paraId="6BED3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C2AF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7F52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F12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4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4A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神经医学科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DCB58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80E0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4AB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协助晨间护理，转床，铺床，协助病人检查，运送急查标本，整理被服室、轮椅，发放病号服。</w:t>
            </w:r>
          </w:p>
        </w:tc>
      </w:tr>
      <w:tr w14:paraId="72FA0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9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CE59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2F5D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6F51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5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1A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内一区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85C5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A839D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 7:00-12:30  14:30-21:00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383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协助晨间护理，转床，铺床，协助病人检查，整理被服室、轮椅，发放病号服。</w:t>
            </w:r>
          </w:p>
        </w:tc>
      </w:tr>
      <w:tr w14:paraId="38C80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9B9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输送服务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703C">
            <w:pPr>
              <w:widowControl/>
              <w:tabs>
                <w:tab w:val="left" w:pos="204"/>
              </w:tabs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南水</w:t>
            </w:r>
          </w:p>
          <w:p w14:paraId="48A6E6E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院区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063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6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55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1"/>
                <w:szCs w:val="31"/>
                <w:lang w:bidi="ar"/>
              </w:rPr>
              <w:t>临床支持中心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E30FD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4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23D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D57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调度+全院区标本运送+陪检+物资运送+送药、退药、借药（含中药房）+高压氧治疗患者运送</w:t>
            </w:r>
          </w:p>
        </w:tc>
      </w:tr>
      <w:tr w14:paraId="2616A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3D3A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E58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平沙院区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CA05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7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47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1"/>
                <w:szCs w:val="31"/>
                <w:lang w:bidi="ar"/>
              </w:rPr>
              <w:t>临床支持中心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A2E2F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10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967F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C66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调度+全院区标本运送+陪检+物资运送+送药、退药、借药（含中药房）+胃肠镜患者、手术患者运送</w:t>
            </w:r>
          </w:p>
        </w:tc>
      </w:tr>
      <w:tr w14:paraId="4191B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6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A97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0264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C37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合计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56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673A8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20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171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B9A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</w:tr>
    </w:tbl>
    <w:p w14:paraId="2F12C1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备注：</w:t>
      </w:r>
    </w:p>
    <w:p w14:paraId="377037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default" w:ascii="方正仿宋_GB2312" w:hAnsi="方正仿宋_GB2312" w:eastAsia="方正仿宋_GB2312" w:cs="方正仿宋_GB2312"/>
          <w:sz w:val="31"/>
          <w:szCs w:val="3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  <w:t>1.护工费用：不超过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2200元／人／月</w:t>
      </w:r>
      <w:r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  <w:t>,重症医学科不超过5000元/人/月。</w:t>
      </w:r>
    </w:p>
    <w:p w14:paraId="1A0E3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中标人必须按照招标人岗位配置需求满岗配置。</w:t>
      </w:r>
    </w:p>
    <w:p w14:paraId="5B9494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各岗位未尽事宜，双方可根据实际需要修改。</w:t>
      </w:r>
    </w:p>
    <w:p w14:paraId="4511ADD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val="en-US" w:eastAsia="zh-CN"/>
        </w:rPr>
        <w:t>三、陪护服务</w:t>
      </w:r>
    </w:p>
    <w:p w14:paraId="206DC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（一）陪护服务内容</w:t>
      </w:r>
      <w:bookmarkStart w:id="0" w:name="_GoBack"/>
      <w:bookmarkEnd w:id="0"/>
    </w:p>
    <w:p w14:paraId="0C82B2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巡视病房，及时为患者解决生活照顾问题。</w:t>
      </w:r>
    </w:p>
    <w:p w14:paraId="45D58C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保持患者床单元整洁干燥、无异味。</w:t>
      </w:r>
    </w:p>
    <w:p w14:paraId="2441A8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协助患者进食及服药，清洁餐具。</w:t>
      </w:r>
    </w:p>
    <w:p w14:paraId="005567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协助患者递送大小便器并及时倾倒、清洗。</w:t>
      </w:r>
    </w:p>
    <w:p w14:paraId="46CB76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发现患者情况异常及时向医护人员报告。</w:t>
      </w:r>
    </w:p>
    <w:p w14:paraId="356DB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协助护士为患者洗脸、漱口、梳头、更衣、擦浴、洗头等。</w:t>
      </w:r>
    </w:p>
    <w:p w14:paraId="1C14CD4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在医务人员的指导下，为患者更换体位、活动肢体，或协助患者院内户外活动等。</w:t>
      </w:r>
    </w:p>
    <w:p w14:paraId="1593185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</w:rPr>
        <w:t>.配合工作：输液病人注意观察点滴情况，防止堵塞、脱落、走空；发现病人异常情况及时报告医生或责任护士；与病人保持良好积极的沟通，安抚病人情绪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eastAsia="zh-CN"/>
        </w:rPr>
        <w:t>。</w:t>
      </w:r>
    </w:p>
    <w:p w14:paraId="2B765D7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1"/>
          <w:szCs w:val="31"/>
        </w:rPr>
        <w:t>.协助科室做好安全管理工作（</w:t>
      </w: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</w:rPr>
        <w:t>门禁、控烟、环境、陪人管理等），保证科室安全</w:t>
      </w:r>
    </w:p>
    <w:p w14:paraId="48148F5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  <w:t>10.新生儿、产妇照护。</w:t>
      </w:r>
    </w:p>
    <w:p w14:paraId="2B334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  <w:lang w:val="en-US" w:eastAsia="zh-CN"/>
        </w:rPr>
        <w:t>陪护服务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  <w:t>工作要求</w:t>
      </w:r>
    </w:p>
    <w:p w14:paraId="1FFCFA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服务模式</w:t>
      </w:r>
    </w:p>
    <w:p w14:paraId="62EB5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根据病人病情，结合患者需求按一对一（专陪）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一对二、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一对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（多陪）模式提供。</w:t>
      </w:r>
    </w:p>
    <w:p w14:paraId="5A02F9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人员配置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及要求</w:t>
      </w:r>
    </w:p>
    <w:p w14:paraId="0601A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各病区根据科室生活助理服务业务量动态配置固定生活助理员，一对多生活助理员与患者的配置比例为1:3。</w:t>
      </w:r>
    </w:p>
    <w:p w14:paraId="469D05A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 xml:space="preserve">人员培训：对陪护人员进行必要的培训和考核。 </w:t>
      </w:r>
    </w:p>
    <w:p w14:paraId="42B3E2E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3）服务质量监控：建立监控与评估机制。</w:t>
      </w:r>
    </w:p>
    <w:p w14:paraId="618F5D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陪护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工作要求</w:t>
      </w:r>
    </w:p>
    <w:p w14:paraId="17351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1）以患者为中心，提供安全、优质的生活助理服务。</w:t>
      </w:r>
    </w:p>
    <w:p w14:paraId="13E1C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2）保持病室整洁，做到床铺干净平整，桌面整洁，床底无杂物。该患者的服务结束后要整理好自己的生活用物拿走。</w:t>
      </w:r>
    </w:p>
    <w:p w14:paraId="20056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3）定时（一对多至少1 次/小时）巡视病人，满足病人的临时性需求。</w:t>
      </w:r>
    </w:p>
    <w:p w14:paraId="50E8ED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4）严禁生活助理员操作任何治疗性、技术性的医疗护理工作，如调节输液速度和氧流量；更换输液袋；鼻饲、雾化吸入、私自为病人冷敷、热敷等。</w:t>
      </w:r>
    </w:p>
    <w:p w14:paraId="02463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5）生活助理员陪送患者进行病区内或外活动时，需经医护人员同意方可进行。</w:t>
      </w:r>
    </w:p>
    <w:p w14:paraId="2C91F3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6）生活助理员按合同内容提供生活助理服务，严格按照合同附件中的协议书收费标准收取费用并签订协议书，未经招标人许可，严禁中标人私自提高生活助理服务费用。</w:t>
      </w:r>
    </w:p>
    <w:p w14:paraId="0CFF1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7）生活助理员不得私下提价，私自收费或索取小费。</w:t>
      </w:r>
    </w:p>
    <w:p w14:paraId="593CE0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8）不得强行向患者推荐及提供生活助理服务。</w:t>
      </w:r>
    </w:p>
    <w:p w14:paraId="40205F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9）原则上由中标人派收费员直接向患者/家属按标准收费，生活助理员不得直接收费。</w:t>
      </w:r>
    </w:p>
    <w:p w14:paraId="7E5DEA5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kern w:val="0"/>
          <w:sz w:val="31"/>
          <w:szCs w:val="31"/>
          <w:lang w:val="en-US" w:eastAsia="zh-CN"/>
        </w:rPr>
        <w:t>（4）陪护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  <w:t>服务范围及费用：明确需要提供陪护服务的病房/科室，并根据实际情况调整春节期间陪护价格及传染病人陪护价格，调整前需向甲方提前书面申请。</w:t>
      </w:r>
    </w:p>
    <w:p w14:paraId="5C64C6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  <w:t>、其他说明</w:t>
      </w:r>
    </w:p>
    <w:p w14:paraId="1DD4085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FF0000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我院包括平沙院区和南水院区，规划床位数为586张。</w:t>
      </w:r>
    </w:p>
    <w:p w14:paraId="780B102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930" w:firstLineChars="3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(二)请供应商根据以上需求制定详细服务方案,方案须包含但不限于岗位定编及分布、总人数、人员单价(完成本项目各项服务而发生的包括但不限于所有人员的平均值，含工资、加班费、节假日薪酬、社会保险、残保金、员工福利、服装费用、培训费用、风险责任金、管理费用、税费、工具使用、耗材使用及国家规定的其他费用等)；</w:t>
      </w:r>
    </w:p>
    <w:p w14:paraId="404CD40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(三)参加本次调研的供应商应提供医疗输送的资质、服务方案及相关资料，并填写以下表格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：</w:t>
      </w:r>
    </w:p>
    <w:p w14:paraId="5427667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报价：</w:t>
      </w:r>
    </w:p>
    <w:p w14:paraId="077C994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</w:p>
    <w:tbl>
      <w:tblPr>
        <w:tblStyle w:val="5"/>
        <w:tblW w:w="9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825"/>
        <w:gridCol w:w="2513"/>
        <w:gridCol w:w="1612"/>
        <w:gridCol w:w="1185"/>
        <w:gridCol w:w="2085"/>
      </w:tblGrid>
      <w:tr w14:paraId="40030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149" w:type="dxa"/>
            <w:vMerge w:val="restart"/>
            <w:vAlign w:val="center"/>
          </w:tcPr>
          <w:p w14:paraId="62D2704D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单位名称</w:t>
            </w:r>
          </w:p>
        </w:tc>
        <w:tc>
          <w:tcPr>
            <w:tcW w:w="4950" w:type="dxa"/>
            <w:gridSpan w:val="3"/>
            <w:vAlign w:val="center"/>
          </w:tcPr>
          <w:p w14:paraId="01D84FE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报价情况</w:t>
            </w:r>
          </w:p>
        </w:tc>
        <w:tc>
          <w:tcPr>
            <w:tcW w:w="1185" w:type="dxa"/>
            <w:vMerge w:val="restart"/>
            <w:vAlign w:val="center"/>
          </w:tcPr>
          <w:p w14:paraId="2D79823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联系人</w:t>
            </w:r>
          </w:p>
        </w:tc>
        <w:tc>
          <w:tcPr>
            <w:tcW w:w="2085" w:type="dxa"/>
            <w:vMerge w:val="restart"/>
            <w:vAlign w:val="center"/>
          </w:tcPr>
          <w:p w14:paraId="5DDA5BC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联系方式</w:t>
            </w:r>
          </w:p>
        </w:tc>
      </w:tr>
      <w:tr w14:paraId="35CE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49" w:type="dxa"/>
            <w:vMerge w:val="continue"/>
            <w:vAlign w:val="center"/>
          </w:tcPr>
          <w:p w14:paraId="1FDDEB9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</w:p>
        </w:tc>
        <w:tc>
          <w:tcPr>
            <w:tcW w:w="825" w:type="dxa"/>
            <w:vAlign w:val="center"/>
          </w:tcPr>
          <w:p w14:paraId="6409BED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人数</w:t>
            </w:r>
          </w:p>
        </w:tc>
        <w:tc>
          <w:tcPr>
            <w:tcW w:w="2513" w:type="dxa"/>
            <w:vAlign w:val="center"/>
          </w:tcPr>
          <w:p w14:paraId="0E27B7F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每月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费用（含加班费等一切费用）</w:t>
            </w:r>
          </w:p>
        </w:tc>
        <w:tc>
          <w:tcPr>
            <w:tcW w:w="1612" w:type="dxa"/>
            <w:vAlign w:val="top"/>
          </w:tcPr>
          <w:p w14:paraId="404B4E7C">
            <w:pPr>
              <w:jc w:val="both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/年</w:t>
            </w:r>
          </w:p>
        </w:tc>
        <w:tc>
          <w:tcPr>
            <w:tcW w:w="1185" w:type="dxa"/>
            <w:vMerge w:val="continue"/>
            <w:vAlign w:val="center"/>
          </w:tcPr>
          <w:p w14:paraId="4858B53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85" w:type="dxa"/>
            <w:vMerge w:val="continue"/>
            <w:vAlign w:val="center"/>
          </w:tcPr>
          <w:p w14:paraId="644C6E0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  <w:tr w14:paraId="5041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49" w:type="dxa"/>
            <w:vAlign w:val="center"/>
          </w:tcPr>
          <w:p w14:paraId="6847AE6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  <w:t>珠海市第五人民医院</w:t>
            </w:r>
          </w:p>
        </w:tc>
        <w:tc>
          <w:tcPr>
            <w:tcW w:w="825" w:type="dxa"/>
            <w:vAlign w:val="center"/>
          </w:tcPr>
          <w:p w14:paraId="0C39652B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20</w:t>
            </w:r>
          </w:p>
        </w:tc>
        <w:tc>
          <w:tcPr>
            <w:tcW w:w="2513" w:type="dxa"/>
            <w:vAlign w:val="center"/>
          </w:tcPr>
          <w:p w14:paraId="42E0CD5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612" w:type="dxa"/>
            <w:vAlign w:val="center"/>
          </w:tcPr>
          <w:p w14:paraId="38F9645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185" w:type="dxa"/>
            <w:vAlign w:val="center"/>
          </w:tcPr>
          <w:p w14:paraId="61D7A0B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85" w:type="dxa"/>
            <w:vAlign w:val="center"/>
          </w:tcPr>
          <w:p w14:paraId="461CBB62">
            <w:pP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</w:tbl>
    <w:p w14:paraId="10259F4F">
      <w:pPr>
        <w:pStyle w:val="2"/>
        <w:ind w:left="0" w:leftChars="0" w:firstLine="0" w:firstLineChars="0"/>
        <w:jc w:val="both"/>
        <w:rPr>
          <w:rFonts w:hint="eastAsia"/>
        </w:rPr>
      </w:pPr>
    </w:p>
    <w:p w14:paraId="435A53FB">
      <w:pPr>
        <w:rPr>
          <w:rFonts w:hint="eastAsia"/>
        </w:rPr>
      </w:pPr>
    </w:p>
    <w:p w14:paraId="3245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陪护服务收费标准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报价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:</w:t>
      </w:r>
    </w:p>
    <w:tbl>
      <w:tblPr>
        <w:tblStyle w:val="4"/>
        <w:tblW w:w="9448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851"/>
        <w:gridCol w:w="2858"/>
        <w:gridCol w:w="1997"/>
        <w:gridCol w:w="2007"/>
      </w:tblGrid>
      <w:tr w14:paraId="1A4E635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D77F5B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序号</w:t>
            </w:r>
          </w:p>
        </w:tc>
        <w:tc>
          <w:tcPr>
            <w:tcW w:w="1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A4348">
            <w:pPr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单位名称</w:t>
            </w:r>
          </w:p>
        </w:tc>
        <w:tc>
          <w:tcPr>
            <w:tcW w:w="28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81CDD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服务模式</w:t>
            </w:r>
          </w:p>
        </w:tc>
        <w:tc>
          <w:tcPr>
            <w:tcW w:w="19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B084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工作日单价</w:t>
            </w:r>
          </w:p>
        </w:tc>
        <w:tc>
          <w:tcPr>
            <w:tcW w:w="20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9A29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法定节假日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单价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  <w:t>（春节）</w:t>
            </w:r>
          </w:p>
        </w:tc>
      </w:tr>
      <w:tr w14:paraId="68D725B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5373BEF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1</w:t>
            </w:r>
          </w:p>
        </w:tc>
        <w:tc>
          <w:tcPr>
            <w:tcW w:w="1851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0A3AC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  <w:t>珠海市第五人民医院</w:t>
            </w: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3137BDF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一对一（普通病人）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FE6EBDD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3B1273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B1C139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843576B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3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2E65D36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5D582D5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一对一（传染病人）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0C2FCE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22A3F52">
            <w:pPr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4CDB8C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379B9E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4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AF59A8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5EDACFD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一对二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63DCF4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3BFAF62">
            <w:pPr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54E52B9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ED7E6D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5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FD79432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8E2EF6C"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2312" w:hAnsi="方正仿宋_GB2312" w:eastAsia="方正仿宋_GB2312" w:cs="方正仿宋_GB2312"/>
                <w:sz w:val="31"/>
                <w:szCs w:val="31"/>
                <w:u w:val="none"/>
                <w:lang w:val="en-US" w:eastAsia="zh-CN"/>
              </w:rPr>
              <w:t>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B88712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9DD9E0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8B8B98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A5F04C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6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5987A5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6989D4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BB2D0FA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4A56EB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264A974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47D10CF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7</w:t>
            </w:r>
          </w:p>
        </w:tc>
        <w:tc>
          <w:tcPr>
            <w:tcW w:w="1851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234DB27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1067B12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74ABEA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401835D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  <w:tr w14:paraId="77880CD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4996D28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8</w:t>
            </w:r>
          </w:p>
        </w:tc>
        <w:tc>
          <w:tcPr>
            <w:tcW w:w="185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A371D9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8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4F802AA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一对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  <w:lang w:val="en-US" w:eastAsia="zh-CN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  <w:t>）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048E513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343100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u w:val="none"/>
              </w:rPr>
            </w:pPr>
          </w:p>
        </w:tc>
      </w:tr>
    </w:tbl>
    <w:p w14:paraId="3361EE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 w14:paraId="2BE5BD9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 w14:paraId="331DA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sectPr>
      <w:pgSz w:w="11906" w:h="16838"/>
      <w:pgMar w:top="1327" w:right="1800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CE8AE29-3148-4B1D-B490-879FB35FBA4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C6F8A35-9F63-4DA1-882C-C60D8EC6963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D79B275-6A75-411F-98E2-8520E3B7F89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A4342F"/>
    <w:multiLevelType w:val="singleLevel"/>
    <w:tmpl w:val="D7A434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00162B4"/>
    <w:multiLevelType w:val="singleLevel"/>
    <w:tmpl w:val="E00162B4"/>
    <w:lvl w:ilvl="0" w:tentative="0">
      <w:start w:val="10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ZTE4ZDVjMDhiOTljODA3N2IxNTBiNzQwZWJjNTEifQ=="/>
  </w:docVars>
  <w:rsids>
    <w:rsidRoot w:val="00000000"/>
    <w:rsid w:val="026C4FD1"/>
    <w:rsid w:val="03542DB5"/>
    <w:rsid w:val="03E868D9"/>
    <w:rsid w:val="049251C3"/>
    <w:rsid w:val="04F04F72"/>
    <w:rsid w:val="05096B07"/>
    <w:rsid w:val="05F438D3"/>
    <w:rsid w:val="09047D11"/>
    <w:rsid w:val="093E42A0"/>
    <w:rsid w:val="0B16508E"/>
    <w:rsid w:val="0D1B4471"/>
    <w:rsid w:val="0F3D3F7D"/>
    <w:rsid w:val="0F7F5842"/>
    <w:rsid w:val="10267F3E"/>
    <w:rsid w:val="10A63780"/>
    <w:rsid w:val="12EA61CA"/>
    <w:rsid w:val="145C4EA5"/>
    <w:rsid w:val="160C6457"/>
    <w:rsid w:val="19E51499"/>
    <w:rsid w:val="1C163B8C"/>
    <w:rsid w:val="1E0C16EA"/>
    <w:rsid w:val="1E20545C"/>
    <w:rsid w:val="1F813A12"/>
    <w:rsid w:val="1FD0596B"/>
    <w:rsid w:val="20C20786"/>
    <w:rsid w:val="21025616"/>
    <w:rsid w:val="21297765"/>
    <w:rsid w:val="24FE5E77"/>
    <w:rsid w:val="267B5E32"/>
    <w:rsid w:val="26817027"/>
    <w:rsid w:val="26A5092E"/>
    <w:rsid w:val="28957626"/>
    <w:rsid w:val="298452E6"/>
    <w:rsid w:val="2CB573F1"/>
    <w:rsid w:val="2DA3549B"/>
    <w:rsid w:val="2E7125D7"/>
    <w:rsid w:val="2F8F308A"/>
    <w:rsid w:val="2FAA0EC5"/>
    <w:rsid w:val="2FD94820"/>
    <w:rsid w:val="300761B5"/>
    <w:rsid w:val="319770C5"/>
    <w:rsid w:val="327335C8"/>
    <w:rsid w:val="33747AF1"/>
    <w:rsid w:val="357074F4"/>
    <w:rsid w:val="37F4000B"/>
    <w:rsid w:val="38221F73"/>
    <w:rsid w:val="3A7B02F1"/>
    <w:rsid w:val="3AC54CA3"/>
    <w:rsid w:val="3CCE3182"/>
    <w:rsid w:val="3EC003DB"/>
    <w:rsid w:val="447535AE"/>
    <w:rsid w:val="46F801AE"/>
    <w:rsid w:val="47F51D6E"/>
    <w:rsid w:val="493D5DC3"/>
    <w:rsid w:val="49BB18EE"/>
    <w:rsid w:val="49EA0282"/>
    <w:rsid w:val="4A8849E2"/>
    <w:rsid w:val="4BC61698"/>
    <w:rsid w:val="4E27634B"/>
    <w:rsid w:val="503404A9"/>
    <w:rsid w:val="51122E93"/>
    <w:rsid w:val="519A52C1"/>
    <w:rsid w:val="51BF0246"/>
    <w:rsid w:val="527C58AD"/>
    <w:rsid w:val="539354E6"/>
    <w:rsid w:val="55F5799E"/>
    <w:rsid w:val="57EA463D"/>
    <w:rsid w:val="58D14F31"/>
    <w:rsid w:val="5952154C"/>
    <w:rsid w:val="5B3E681C"/>
    <w:rsid w:val="5B4F5ABF"/>
    <w:rsid w:val="5B5163B3"/>
    <w:rsid w:val="5DD05074"/>
    <w:rsid w:val="5FCE01E9"/>
    <w:rsid w:val="6326377E"/>
    <w:rsid w:val="63696BCB"/>
    <w:rsid w:val="65C013AD"/>
    <w:rsid w:val="66FE6250"/>
    <w:rsid w:val="67F8688F"/>
    <w:rsid w:val="69BB70ED"/>
    <w:rsid w:val="6AD55F8D"/>
    <w:rsid w:val="6D333E53"/>
    <w:rsid w:val="6D73140E"/>
    <w:rsid w:val="71916CF8"/>
    <w:rsid w:val="744A3547"/>
    <w:rsid w:val="752B3568"/>
    <w:rsid w:val="78F87A16"/>
    <w:rsid w:val="79570717"/>
    <w:rsid w:val="798412AA"/>
    <w:rsid w:val="7A8A4A24"/>
    <w:rsid w:val="7C780C38"/>
    <w:rsid w:val="7D482FE1"/>
    <w:rsid w:val="7E0B576A"/>
    <w:rsid w:val="7ED26AAB"/>
    <w:rsid w:val="7F36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852"/>
      <w:jc w:val="center"/>
      <w:outlineLvl w:val="1"/>
    </w:pPr>
    <w:rPr>
      <w:b/>
      <w:bCs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表格文字"/>
    <w:basedOn w:val="1"/>
    <w:autoRedefine/>
    <w:qFormat/>
    <w:uiPriority w:val="0"/>
    <w:pPr>
      <w:widowControl/>
      <w:autoSpaceDE/>
      <w:autoSpaceDN/>
      <w:spacing w:before="25" w:after="25"/>
    </w:pPr>
    <w:rPr>
      <w:rFonts w:cs="Times New Roman"/>
      <w:bCs/>
      <w:spacing w:val="10"/>
      <w:sz w:val="24"/>
      <w:szCs w:val="20"/>
      <w:lang w:eastAsia="zh-CN"/>
    </w:rPr>
  </w:style>
  <w:style w:type="paragraph" w:styleId="9">
    <w:name w:val="List Paragraph"/>
    <w:basedOn w:val="1"/>
    <w:qFormat/>
    <w:uiPriority w:val="1"/>
    <w:pPr>
      <w:ind w:left="451" w:firstLine="420"/>
    </w:pPr>
    <w:rPr>
      <w:sz w:val="24"/>
      <w:szCs w:val="24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3990</Words>
  <Characters>4104</Characters>
  <Lines>0</Lines>
  <Paragraphs>0</Paragraphs>
  <TotalTime>34</TotalTime>
  <ScaleCrop>false</ScaleCrop>
  <LinksUpToDate>false</LinksUpToDate>
  <CharactersWithSpaces>4119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2024-10-10T02:32:00Z</dcterms:created>
  <dc:creator>admin</dc:creator>
  <cp:lastModifiedBy>潼潼辣妈</cp:lastModifiedBy>
  <cp:lastPrinted>2024-10-17T03:13:00Z</cp:lastPrinted>
  <dcterms:modified xsi:type="dcterms:W3CDTF">2024-11-01T01:18:42Z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40E16ACEACD649A8A762B7A0453E8313_13</vt:lpwstr>
  </property>
</Properties>
</file>